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F095" w14:textId="44EC8C0E" w:rsidR="00BB0843" w:rsidRPr="002E34D6" w:rsidRDefault="00956B1B" w:rsidP="00212E0C">
      <w:pPr>
        <w:pStyle w:val="Title"/>
        <w:rPr>
          <w:rFonts w:ascii="Times New Roman" w:hAnsi="Times New Roman" w:cs="Times New Roman"/>
          <w:sz w:val="20"/>
          <w:szCs w:val="20"/>
        </w:rPr>
      </w:pPr>
      <w:r w:rsidRPr="00AD090B">
        <w:rPr>
          <w:rFonts w:ascii="Times New Roman" w:hAnsi="Times New Roman" w:cs="Times New Roman"/>
        </w:rPr>
        <w:t xml:space="preserve">Clinical evaluation </w:t>
      </w:r>
      <w:r w:rsidR="00687D23" w:rsidRPr="00AD090B">
        <w:rPr>
          <w:rFonts w:ascii="Times New Roman" w:hAnsi="Times New Roman" w:cs="Times New Roman"/>
        </w:rPr>
        <w:t xml:space="preserve">of PETRACKR® </w:t>
      </w:r>
      <w:r w:rsidRPr="00AD090B">
        <w:rPr>
          <w:rFonts w:ascii="Times New Roman" w:hAnsi="Times New Roman" w:cs="Times New Roman"/>
        </w:rPr>
        <w:t>point of ca</w:t>
      </w:r>
      <w:r w:rsidR="00687D23" w:rsidRPr="00AD090B">
        <w:rPr>
          <w:rFonts w:ascii="Times New Roman" w:hAnsi="Times New Roman" w:cs="Times New Roman"/>
        </w:rPr>
        <w:t>re blood glucometer for dogs and cats</w:t>
      </w:r>
      <w:r w:rsidR="002E34D6">
        <w:rPr>
          <w:rFonts w:ascii="Times New Roman" w:hAnsi="Times New Roman" w:cs="Times New Roman"/>
        </w:rPr>
        <w:br/>
      </w:r>
      <w:r w:rsidR="003444B0">
        <w:rPr>
          <w:rFonts w:ascii="Times New Roman" w:hAnsi="Times New Roman" w:cs="Times New Roman"/>
          <w:sz w:val="20"/>
          <w:szCs w:val="20"/>
        </w:rPr>
        <w:t xml:space="preserve">Dr. </w:t>
      </w:r>
      <w:r w:rsidR="008E61E1">
        <w:rPr>
          <w:rFonts w:ascii="Times New Roman" w:hAnsi="Times New Roman" w:cs="Times New Roman"/>
          <w:sz w:val="20"/>
          <w:szCs w:val="20"/>
        </w:rPr>
        <w:t xml:space="preserve">Marcin Kowalczyk, </w:t>
      </w:r>
      <w:r w:rsidR="00D20D9F">
        <w:rPr>
          <w:rFonts w:ascii="Times New Roman" w:hAnsi="Times New Roman" w:cs="Times New Roman"/>
          <w:sz w:val="20"/>
          <w:szCs w:val="20"/>
        </w:rPr>
        <w:t xml:space="preserve">Ms. Jamie Peterson </w:t>
      </w:r>
      <w:r w:rsidR="00A76134">
        <w:rPr>
          <w:rFonts w:ascii="Times New Roman" w:hAnsi="Times New Roman" w:cs="Times New Roman"/>
          <w:sz w:val="20"/>
          <w:szCs w:val="20"/>
        </w:rPr>
        <w:t xml:space="preserve">Universal Biosensors, </w:t>
      </w:r>
      <w:r w:rsidR="0012528A">
        <w:rPr>
          <w:rFonts w:ascii="Times New Roman" w:hAnsi="Times New Roman" w:cs="Times New Roman"/>
          <w:sz w:val="20"/>
          <w:szCs w:val="20"/>
        </w:rPr>
        <w:t>1 Corporate Avenue, Row</w:t>
      </w:r>
      <w:r w:rsidR="002850EB">
        <w:rPr>
          <w:rFonts w:ascii="Times New Roman" w:hAnsi="Times New Roman" w:cs="Times New Roman"/>
          <w:sz w:val="20"/>
          <w:szCs w:val="20"/>
        </w:rPr>
        <w:t>v</w:t>
      </w:r>
      <w:r w:rsidR="0012528A">
        <w:rPr>
          <w:rFonts w:ascii="Times New Roman" w:hAnsi="Times New Roman" w:cs="Times New Roman"/>
          <w:sz w:val="20"/>
          <w:szCs w:val="20"/>
        </w:rPr>
        <w:t>ille VIC 3178</w:t>
      </w:r>
      <w:r w:rsidR="00A76134">
        <w:rPr>
          <w:rFonts w:ascii="Times New Roman" w:hAnsi="Times New Roman" w:cs="Times New Roman"/>
          <w:sz w:val="20"/>
          <w:szCs w:val="20"/>
        </w:rPr>
        <w:t xml:space="preserve"> Australia</w:t>
      </w:r>
      <w:r w:rsidR="0012528A">
        <w:rPr>
          <w:rFonts w:ascii="Times New Roman" w:hAnsi="Times New Roman" w:cs="Times New Roman"/>
          <w:sz w:val="20"/>
          <w:szCs w:val="20"/>
        </w:rPr>
        <w:t>.</w:t>
      </w:r>
      <w:r w:rsidR="00A76134">
        <w:rPr>
          <w:rFonts w:ascii="Times New Roman" w:hAnsi="Times New Roman" w:cs="Times New Roman"/>
          <w:sz w:val="20"/>
          <w:szCs w:val="20"/>
        </w:rPr>
        <w:t xml:space="preserve"> </w:t>
      </w:r>
      <w:r w:rsidR="00B528D1">
        <w:rPr>
          <w:rFonts w:ascii="Times New Roman" w:hAnsi="Times New Roman" w:cs="Times New Roman"/>
          <w:sz w:val="20"/>
          <w:szCs w:val="20"/>
        </w:rPr>
        <w:t>Dr.</w:t>
      </w:r>
      <w:r w:rsidR="00A76134">
        <w:rPr>
          <w:rFonts w:ascii="Times New Roman" w:hAnsi="Times New Roman" w:cs="Times New Roman"/>
          <w:sz w:val="20"/>
          <w:szCs w:val="20"/>
        </w:rPr>
        <w:t xml:space="preserve"> Kellie M. Cammarano, </w:t>
      </w:r>
      <w:r w:rsidR="00B528D1">
        <w:rPr>
          <w:rFonts w:ascii="Times New Roman" w:hAnsi="Times New Roman" w:cs="Times New Roman"/>
          <w:sz w:val="20"/>
          <w:szCs w:val="20"/>
        </w:rPr>
        <w:t>Dr</w:t>
      </w:r>
      <w:r w:rsidR="00A76134">
        <w:rPr>
          <w:rFonts w:ascii="Times New Roman" w:hAnsi="Times New Roman" w:cs="Times New Roman"/>
          <w:sz w:val="20"/>
          <w:szCs w:val="20"/>
        </w:rPr>
        <w:t xml:space="preserve">. Jennifer M. Prieto, Dr. John P Loftus, Cornell University </w:t>
      </w:r>
      <w:r w:rsidR="00E23001">
        <w:rPr>
          <w:rFonts w:ascii="Times New Roman" w:hAnsi="Times New Roman" w:cs="Times New Roman"/>
          <w:sz w:val="20"/>
          <w:szCs w:val="20"/>
        </w:rPr>
        <w:t>College of Veterinary Medicine</w:t>
      </w:r>
      <w:r w:rsidR="00A76134">
        <w:rPr>
          <w:rFonts w:ascii="Times New Roman" w:hAnsi="Times New Roman" w:cs="Times New Roman"/>
          <w:sz w:val="20"/>
          <w:szCs w:val="20"/>
        </w:rPr>
        <w:t>, Ithaca NY 14853 USA.</w:t>
      </w:r>
    </w:p>
    <w:p w14:paraId="2ACDB5B1" w14:textId="46B2C1CD" w:rsidR="00687D23" w:rsidRPr="00AD090B" w:rsidRDefault="00536348" w:rsidP="00687D23">
      <w:pPr>
        <w:rPr>
          <w:b/>
          <w:b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A592D" wp14:editId="1401DBA7">
                <wp:simplePos x="0" y="0"/>
                <wp:positionH relativeFrom="column">
                  <wp:posOffset>-28575</wp:posOffset>
                </wp:positionH>
                <wp:positionV relativeFrom="paragraph">
                  <wp:posOffset>1109980</wp:posOffset>
                </wp:positionV>
                <wp:extent cx="6451600" cy="0"/>
                <wp:effectExtent l="0" t="0" r="0" b="0"/>
                <wp:wrapNone/>
                <wp:docPr id="51319365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A519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87.4pt" to="505.7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8E1547">
        <w:rPr>
          <w:b/>
          <w:bCs/>
          <w:i/>
          <w:iCs/>
        </w:rPr>
        <w:t xml:space="preserve">Diabetus melletus </w:t>
      </w:r>
      <w:r w:rsidR="008E1547">
        <w:rPr>
          <w:b/>
          <w:bCs/>
        </w:rPr>
        <w:t xml:space="preserve">is an increasingly common condition among companion </w:t>
      </w:r>
      <w:r w:rsidR="00CE3C3C">
        <w:rPr>
          <w:b/>
          <w:bCs/>
        </w:rPr>
        <w:t>cats and dogs.</w:t>
      </w:r>
      <w:r w:rsidR="008E1547">
        <w:rPr>
          <w:b/>
          <w:bCs/>
        </w:rPr>
        <w:t xml:space="preserve"> </w:t>
      </w:r>
      <w:r w:rsidR="001C4499">
        <w:rPr>
          <w:b/>
          <w:bCs/>
        </w:rPr>
        <w:t xml:space="preserve">Clinical management of this condition requires constant monitoring wherein </w:t>
      </w:r>
      <w:r w:rsidR="00EC03AF">
        <w:rPr>
          <w:b/>
          <w:bCs/>
        </w:rPr>
        <w:t>handheld</w:t>
      </w:r>
      <w:r w:rsidR="001C4499">
        <w:rPr>
          <w:b/>
          <w:bCs/>
        </w:rPr>
        <w:t xml:space="preserve"> glucometers are the mainstay. This study describes the clinical evaluation of PETRACKR</w:t>
      </w:r>
      <w:r w:rsidR="00887FC7">
        <w:rPr>
          <w:b/>
          <w:bCs/>
        </w:rPr>
        <w:t xml:space="preserve"> </w:t>
      </w:r>
      <w:r w:rsidR="00EC03AF">
        <w:rPr>
          <w:b/>
          <w:bCs/>
        </w:rPr>
        <w:t>handheld</w:t>
      </w:r>
      <w:r w:rsidR="00887FC7">
        <w:rPr>
          <w:b/>
          <w:bCs/>
        </w:rPr>
        <w:t xml:space="preserve"> glucometer for cats and dogs</w:t>
      </w:r>
      <w:r w:rsidR="00D230BC">
        <w:rPr>
          <w:b/>
          <w:bCs/>
        </w:rPr>
        <w:t xml:space="preserve"> assessed</w:t>
      </w:r>
      <w:r w:rsidR="00887FC7">
        <w:rPr>
          <w:b/>
          <w:bCs/>
        </w:rPr>
        <w:t xml:space="preserve"> against a laboratory </w:t>
      </w:r>
      <w:r w:rsidR="00AE2B12">
        <w:rPr>
          <w:b/>
          <w:bCs/>
        </w:rPr>
        <w:t>biochemical ana</w:t>
      </w:r>
      <w:r w:rsidR="00317115">
        <w:rPr>
          <w:b/>
          <w:bCs/>
        </w:rPr>
        <w:t>lyser reference</w:t>
      </w:r>
      <w:r w:rsidR="00887FC7">
        <w:rPr>
          <w:b/>
          <w:bCs/>
        </w:rPr>
        <w:t xml:space="preserve">. It was found that </w:t>
      </w:r>
      <w:r w:rsidR="005F5EFB">
        <w:rPr>
          <w:b/>
          <w:bCs/>
        </w:rPr>
        <w:t xml:space="preserve">95% of </w:t>
      </w:r>
      <w:r w:rsidR="00887FC7">
        <w:rPr>
          <w:b/>
          <w:bCs/>
        </w:rPr>
        <w:t xml:space="preserve">PETRACKR </w:t>
      </w:r>
      <w:r w:rsidR="005F5EFB">
        <w:rPr>
          <w:b/>
          <w:bCs/>
        </w:rPr>
        <w:t xml:space="preserve">results are </w:t>
      </w:r>
      <w:r w:rsidR="003F7066">
        <w:rPr>
          <w:b/>
          <w:bCs/>
        </w:rPr>
        <w:t xml:space="preserve">in accordance with </w:t>
      </w:r>
      <w:r w:rsidR="00887FC7">
        <w:rPr>
          <w:b/>
          <w:bCs/>
        </w:rPr>
        <w:t xml:space="preserve">international </w:t>
      </w:r>
      <w:r w:rsidR="00244A19">
        <w:rPr>
          <w:b/>
          <w:bCs/>
        </w:rPr>
        <w:t xml:space="preserve">accuracy </w:t>
      </w:r>
      <w:r w:rsidR="00887FC7">
        <w:rPr>
          <w:b/>
          <w:bCs/>
        </w:rPr>
        <w:t xml:space="preserve">standards for human </w:t>
      </w:r>
      <w:r w:rsidR="00333F15">
        <w:rPr>
          <w:b/>
          <w:bCs/>
        </w:rPr>
        <w:t>glucometers</w:t>
      </w:r>
      <w:r w:rsidR="003F7066">
        <w:rPr>
          <w:b/>
          <w:bCs/>
        </w:rPr>
        <w:t xml:space="preserve"> (ISO15197:2013)</w:t>
      </w:r>
      <w:r w:rsidR="00887FC7">
        <w:rPr>
          <w:b/>
          <w:bCs/>
        </w:rPr>
        <w:t>.</w:t>
      </w:r>
      <w:r w:rsidR="00C169BA">
        <w:rPr>
          <w:b/>
          <w:bCs/>
        </w:rPr>
        <w:t xml:space="preserve"> </w:t>
      </w:r>
    </w:p>
    <w:p w14:paraId="5B666D2C" w14:textId="337EF08F" w:rsidR="00240CE1" w:rsidRDefault="00240CE1" w:rsidP="00687D23">
      <w:pPr>
        <w:rPr>
          <w:b/>
          <w:bCs/>
        </w:rPr>
      </w:pPr>
    </w:p>
    <w:p w14:paraId="69486FF1" w14:textId="04D33AD2" w:rsidR="00285545" w:rsidRPr="00AD090B" w:rsidRDefault="00285545" w:rsidP="00687D23">
      <w:pPr>
        <w:rPr>
          <w:b/>
          <w:bCs/>
        </w:rPr>
        <w:sectPr w:rsidR="00285545" w:rsidRPr="00AD090B" w:rsidSect="00825DD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7" w:h="16839"/>
          <w:pgMar w:top="1440" w:right="851" w:bottom="1440" w:left="851" w:header="709" w:footer="454" w:gutter="0"/>
          <w:cols w:space="708"/>
          <w:docGrid w:linePitch="360"/>
        </w:sectPr>
      </w:pPr>
    </w:p>
    <w:p w14:paraId="0A58002A" w14:textId="361F899B" w:rsidR="003F50FC" w:rsidRPr="00180B15" w:rsidRDefault="00165A63" w:rsidP="003F50FC">
      <w:pPr>
        <w:pStyle w:val="ListParagraph"/>
        <w:numPr>
          <w:ilvl w:val="0"/>
          <w:numId w:val="15"/>
        </w:numPr>
        <w:rPr>
          <w:b/>
          <w:bCs/>
          <w:sz w:val="20"/>
          <w:szCs w:val="20"/>
        </w:rPr>
      </w:pPr>
      <w:r w:rsidRPr="00180B15">
        <w:rPr>
          <w:b/>
          <w:bCs/>
          <w:sz w:val="20"/>
          <w:szCs w:val="20"/>
        </w:rPr>
        <w:t>Introduction</w:t>
      </w:r>
    </w:p>
    <w:p w14:paraId="6F14B144" w14:textId="4B6DB073" w:rsidR="00DA3A03" w:rsidRPr="00180B15" w:rsidRDefault="00527127" w:rsidP="00527127">
      <w:pPr>
        <w:rPr>
          <w:sz w:val="20"/>
          <w:szCs w:val="20"/>
        </w:rPr>
      </w:pPr>
      <w:r w:rsidRPr="00180B15">
        <w:rPr>
          <w:i/>
          <w:iCs/>
          <w:sz w:val="20"/>
          <w:szCs w:val="20"/>
        </w:rPr>
        <w:t xml:space="preserve">Diabetes mellitus </w:t>
      </w:r>
      <w:r w:rsidRPr="00180B15">
        <w:rPr>
          <w:sz w:val="20"/>
          <w:szCs w:val="20"/>
        </w:rPr>
        <w:t>is a relatively common endocrinopathy in cats and dogs</w:t>
      </w:r>
      <w:r w:rsidR="00B62E1A" w:rsidRPr="00180B15">
        <w:rPr>
          <w:sz w:val="20"/>
          <w:szCs w:val="20"/>
        </w:rPr>
        <w:t xml:space="preserve"> affecting approximately 0.6%</w:t>
      </w:r>
      <w:r w:rsidR="001D7288" w:rsidRPr="00180B15">
        <w:rPr>
          <w:rStyle w:val="EndnoteReference"/>
          <w:sz w:val="20"/>
          <w:szCs w:val="20"/>
        </w:rPr>
        <w:endnoteReference w:id="1"/>
      </w:r>
      <w:r w:rsidR="00B62E1A" w:rsidRPr="00180B15">
        <w:rPr>
          <w:sz w:val="20"/>
          <w:szCs w:val="20"/>
        </w:rPr>
        <w:t xml:space="preserve"> and 0.3%</w:t>
      </w:r>
      <w:r w:rsidR="001D7288" w:rsidRPr="00180B15">
        <w:rPr>
          <w:rStyle w:val="EndnoteReference"/>
          <w:sz w:val="20"/>
          <w:szCs w:val="20"/>
        </w:rPr>
        <w:endnoteReference w:id="2"/>
      </w:r>
      <w:r w:rsidR="00B62E1A" w:rsidRPr="00180B15">
        <w:rPr>
          <w:sz w:val="20"/>
          <w:szCs w:val="20"/>
        </w:rPr>
        <w:t xml:space="preserve"> of </w:t>
      </w:r>
      <w:r w:rsidR="00401E2E" w:rsidRPr="00180B15">
        <w:rPr>
          <w:sz w:val="20"/>
          <w:szCs w:val="20"/>
        </w:rPr>
        <w:t xml:space="preserve">the total population of </w:t>
      </w:r>
      <w:r w:rsidR="00B62E1A" w:rsidRPr="00180B15">
        <w:rPr>
          <w:sz w:val="20"/>
          <w:szCs w:val="20"/>
        </w:rPr>
        <w:t>each species respectively</w:t>
      </w:r>
      <w:r w:rsidR="0006182E" w:rsidRPr="00180B15">
        <w:rPr>
          <w:sz w:val="20"/>
          <w:szCs w:val="20"/>
        </w:rPr>
        <w:t>.</w:t>
      </w:r>
      <w:r w:rsidR="003F4758">
        <w:rPr>
          <w:sz w:val="20"/>
          <w:szCs w:val="20"/>
        </w:rPr>
        <w:t xml:space="preserve"> In the United States, approximately </w:t>
      </w:r>
      <w:r w:rsidR="00C63449">
        <w:rPr>
          <w:sz w:val="20"/>
          <w:szCs w:val="20"/>
        </w:rPr>
        <w:t>48</w:t>
      </w:r>
      <w:r w:rsidR="007E47DC">
        <w:rPr>
          <w:sz w:val="20"/>
          <w:szCs w:val="20"/>
        </w:rPr>
        <w:t xml:space="preserve"> million households are registered as dog owners and </w:t>
      </w:r>
      <w:r w:rsidR="00C63449">
        <w:rPr>
          <w:sz w:val="20"/>
          <w:szCs w:val="20"/>
        </w:rPr>
        <w:t>32</w:t>
      </w:r>
      <w:r w:rsidR="007E47DC">
        <w:rPr>
          <w:sz w:val="20"/>
          <w:szCs w:val="20"/>
        </w:rPr>
        <w:t xml:space="preserve"> million households </w:t>
      </w:r>
      <w:r w:rsidR="00B20332">
        <w:rPr>
          <w:sz w:val="20"/>
          <w:szCs w:val="20"/>
        </w:rPr>
        <w:t>own cats.</w:t>
      </w:r>
      <w:r w:rsidR="008460BC">
        <w:rPr>
          <w:rStyle w:val="EndnoteReference"/>
          <w:sz w:val="20"/>
          <w:szCs w:val="20"/>
        </w:rPr>
        <w:endnoteReference w:id="3"/>
      </w:r>
      <w:r w:rsidR="00B62E1A" w:rsidRPr="00180B15">
        <w:rPr>
          <w:sz w:val="20"/>
          <w:szCs w:val="20"/>
        </w:rPr>
        <w:t xml:space="preserve"> </w:t>
      </w:r>
      <w:r w:rsidR="00A54FAC" w:rsidRPr="00180B15">
        <w:rPr>
          <w:sz w:val="20"/>
          <w:szCs w:val="20"/>
        </w:rPr>
        <w:t>Unfortunately</w:t>
      </w:r>
      <w:r w:rsidR="00323B7D" w:rsidRPr="00180B15">
        <w:rPr>
          <w:sz w:val="20"/>
          <w:szCs w:val="20"/>
        </w:rPr>
        <w:t>,</w:t>
      </w:r>
      <w:r w:rsidR="00A54FAC" w:rsidRPr="00180B15">
        <w:rPr>
          <w:sz w:val="20"/>
          <w:szCs w:val="20"/>
        </w:rPr>
        <w:t xml:space="preserve"> </w:t>
      </w:r>
      <w:r w:rsidR="009D14B8">
        <w:rPr>
          <w:sz w:val="20"/>
          <w:szCs w:val="20"/>
        </w:rPr>
        <w:t xml:space="preserve">diabetes </w:t>
      </w:r>
      <w:r w:rsidR="00A54FAC" w:rsidRPr="00180B15">
        <w:rPr>
          <w:sz w:val="20"/>
          <w:szCs w:val="20"/>
        </w:rPr>
        <w:t>is becoming more common as instances of pet obesity also increase</w:t>
      </w:r>
      <w:r w:rsidR="000869FC">
        <w:rPr>
          <w:sz w:val="20"/>
          <w:szCs w:val="20"/>
        </w:rPr>
        <w:t>.</w:t>
      </w:r>
      <w:r w:rsidR="00A73333">
        <w:rPr>
          <w:rStyle w:val="EndnoteReference"/>
          <w:sz w:val="20"/>
          <w:szCs w:val="20"/>
        </w:rPr>
        <w:endnoteReference w:id="4"/>
      </w:r>
      <w:r w:rsidR="006452DD">
        <w:rPr>
          <w:sz w:val="20"/>
          <w:szCs w:val="20"/>
          <w:vertAlign w:val="superscript"/>
        </w:rPr>
        <w:t>,</w:t>
      </w:r>
      <w:r w:rsidR="000869FC">
        <w:rPr>
          <w:rStyle w:val="EndnoteReference"/>
          <w:sz w:val="20"/>
          <w:szCs w:val="20"/>
        </w:rPr>
        <w:endnoteReference w:id="5"/>
      </w:r>
      <w:r w:rsidR="006452DD">
        <w:rPr>
          <w:sz w:val="20"/>
          <w:szCs w:val="20"/>
          <w:vertAlign w:val="superscript"/>
        </w:rPr>
        <w:t>,</w:t>
      </w:r>
      <w:r w:rsidR="006452DD">
        <w:rPr>
          <w:rStyle w:val="EndnoteReference"/>
          <w:sz w:val="20"/>
          <w:szCs w:val="20"/>
        </w:rPr>
        <w:endnoteReference w:id="6"/>
      </w:r>
      <w:r w:rsidR="00A54FAC" w:rsidRPr="00180B15">
        <w:rPr>
          <w:sz w:val="20"/>
          <w:szCs w:val="20"/>
        </w:rPr>
        <w:t xml:space="preserve"> </w:t>
      </w:r>
      <w:r w:rsidR="00B20304" w:rsidRPr="00180B15">
        <w:rPr>
          <w:sz w:val="20"/>
          <w:szCs w:val="20"/>
        </w:rPr>
        <w:t xml:space="preserve">Although underlying </w:t>
      </w:r>
      <w:r w:rsidR="00C421B3">
        <w:rPr>
          <w:sz w:val="20"/>
          <w:szCs w:val="20"/>
        </w:rPr>
        <w:t>a</w:t>
      </w:r>
      <w:r w:rsidR="00B20304" w:rsidRPr="00180B15">
        <w:rPr>
          <w:sz w:val="20"/>
          <w:szCs w:val="20"/>
        </w:rPr>
        <w:t>etiologies differ between the two species,</w:t>
      </w:r>
      <w:r w:rsidR="00D50295" w:rsidRPr="00180B15">
        <w:rPr>
          <w:sz w:val="20"/>
          <w:szCs w:val="20"/>
        </w:rPr>
        <w:t xml:space="preserve"> both are treated with exogenous insulin and require regular monitoring to ensure appropriate therapy.</w:t>
      </w:r>
      <w:r w:rsidR="005E7B60" w:rsidRPr="00180B15">
        <w:rPr>
          <w:sz w:val="20"/>
          <w:szCs w:val="20"/>
        </w:rPr>
        <w:t xml:space="preserve"> </w:t>
      </w:r>
    </w:p>
    <w:p w14:paraId="13D7DBAB" w14:textId="20C69BD7" w:rsidR="00B47C67" w:rsidRDefault="00DA4DBE" w:rsidP="00527127">
      <w:pPr>
        <w:rPr>
          <w:sz w:val="20"/>
          <w:szCs w:val="20"/>
        </w:rPr>
      </w:pPr>
      <w:r w:rsidRPr="00180B15">
        <w:rPr>
          <w:sz w:val="20"/>
          <w:szCs w:val="20"/>
        </w:rPr>
        <w:t>Laboratory biochemistry analysers remain the mainstay for measuring blood glucose and hence</w:t>
      </w:r>
      <w:r w:rsidR="00B52AC8" w:rsidRPr="00180B15">
        <w:rPr>
          <w:sz w:val="20"/>
          <w:szCs w:val="20"/>
        </w:rPr>
        <w:t xml:space="preserve"> diagnosis of this condition. However, monitoring options </w:t>
      </w:r>
      <w:r w:rsidR="00730814" w:rsidRPr="00180B15">
        <w:rPr>
          <w:sz w:val="20"/>
          <w:szCs w:val="20"/>
        </w:rPr>
        <w:t xml:space="preserve">for pet guardians are </w:t>
      </w:r>
      <w:r w:rsidR="00795E67" w:rsidRPr="00180B15">
        <w:rPr>
          <w:sz w:val="20"/>
          <w:szCs w:val="20"/>
        </w:rPr>
        <w:t>dominated by portable blood glucometers</w:t>
      </w:r>
      <w:r w:rsidR="00873ABD">
        <w:rPr>
          <w:sz w:val="20"/>
          <w:szCs w:val="20"/>
        </w:rPr>
        <w:t xml:space="preserve"> which provide </w:t>
      </w:r>
      <w:r w:rsidR="00D72017">
        <w:rPr>
          <w:sz w:val="20"/>
          <w:szCs w:val="20"/>
        </w:rPr>
        <w:t>affordable</w:t>
      </w:r>
      <w:r w:rsidR="00873ABD">
        <w:rPr>
          <w:sz w:val="20"/>
          <w:szCs w:val="20"/>
        </w:rPr>
        <w:t xml:space="preserve"> and convenient point</w:t>
      </w:r>
      <w:r w:rsidR="00E07254">
        <w:rPr>
          <w:sz w:val="20"/>
          <w:szCs w:val="20"/>
        </w:rPr>
        <w:t>-</w:t>
      </w:r>
      <w:r w:rsidR="00873ABD">
        <w:rPr>
          <w:sz w:val="20"/>
          <w:szCs w:val="20"/>
        </w:rPr>
        <w:t>of</w:t>
      </w:r>
      <w:r w:rsidR="00E07254">
        <w:rPr>
          <w:sz w:val="20"/>
          <w:szCs w:val="20"/>
        </w:rPr>
        <w:t>-</w:t>
      </w:r>
      <w:r w:rsidR="00873ABD">
        <w:rPr>
          <w:sz w:val="20"/>
          <w:szCs w:val="20"/>
        </w:rPr>
        <w:t>care (POC) use</w:t>
      </w:r>
      <w:r w:rsidR="00795E67" w:rsidRPr="00180B15">
        <w:rPr>
          <w:sz w:val="20"/>
          <w:szCs w:val="20"/>
        </w:rPr>
        <w:t xml:space="preserve">. </w:t>
      </w:r>
      <w:r w:rsidR="00FB29A3" w:rsidRPr="00180B15">
        <w:rPr>
          <w:sz w:val="20"/>
          <w:szCs w:val="20"/>
        </w:rPr>
        <w:t xml:space="preserve">While animal coded </w:t>
      </w:r>
      <w:r w:rsidR="00E80E1E" w:rsidRPr="00180B15">
        <w:rPr>
          <w:sz w:val="20"/>
          <w:szCs w:val="20"/>
        </w:rPr>
        <w:t>portable</w:t>
      </w:r>
      <w:r w:rsidR="00FB29A3" w:rsidRPr="00180B15">
        <w:rPr>
          <w:sz w:val="20"/>
          <w:szCs w:val="20"/>
        </w:rPr>
        <w:t xml:space="preserve"> glucometers have more recently become available on the market, </w:t>
      </w:r>
      <w:r w:rsidR="00C43C1A" w:rsidRPr="00180B15">
        <w:rPr>
          <w:sz w:val="20"/>
          <w:szCs w:val="20"/>
        </w:rPr>
        <w:t>the use of human glucometers remains common</w:t>
      </w:r>
      <w:r w:rsidR="00216049">
        <w:rPr>
          <w:sz w:val="20"/>
          <w:szCs w:val="20"/>
        </w:rPr>
        <w:t xml:space="preserve"> despite their unvalidated status in this application</w:t>
      </w:r>
      <w:r w:rsidR="00C43C1A" w:rsidRPr="00180B15">
        <w:rPr>
          <w:sz w:val="20"/>
          <w:szCs w:val="20"/>
        </w:rPr>
        <w:t>.</w:t>
      </w:r>
      <w:r w:rsidR="00745904">
        <w:rPr>
          <w:rStyle w:val="EndnoteReference"/>
          <w:sz w:val="20"/>
          <w:szCs w:val="20"/>
        </w:rPr>
        <w:endnoteReference w:id="7"/>
      </w:r>
      <w:r w:rsidR="00EF1DA2" w:rsidRPr="00180B15">
        <w:rPr>
          <w:sz w:val="20"/>
          <w:szCs w:val="20"/>
        </w:rPr>
        <w:t xml:space="preserve"> </w:t>
      </w:r>
      <w:r w:rsidR="00B47C67">
        <w:rPr>
          <w:sz w:val="20"/>
          <w:szCs w:val="20"/>
        </w:rPr>
        <w:t xml:space="preserve">Further, leading brand pet coded blood glucometers </w:t>
      </w:r>
      <w:r w:rsidR="00B341C3">
        <w:rPr>
          <w:sz w:val="20"/>
          <w:szCs w:val="20"/>
        </w:rPr>
        <w:t>such as the AlphaTrak2</w:t>
      </w:r>
      <w:r w:rsidR="0060129C">
        <w:rPr>
          <w:sz w:val="20"/>
          <w:szCs w:val="20"/>
        </w:rPr>
        <w:t>®</w:t>
      </w:r>
      <w:r w:rsidR="00B341C3">
        <w:rPr>
          <w:sz w:val="20"/>
          <w:szCs w:val="20"/>
        </w:rPr>
        <w:t xml:space="preserve"> </w:t>
      </w:r>
      <w:r w:rsidR="00B47C67">
        <w:rPr>
          <w:sz w:val="20"/>
          <w:szCs w:val="20"/>
        </w:rPr>
        <w:t xml:space="preserve">investigated by peer review show limitations </w:t>
      </w:r>
      <w:r w:rsidR="00B341C3">
        <w:rPr>
          <w:sz w:val="20"/>
          <w:szCs w:val="20"/>
        </w:rPr>
        <w:t>wherein only 50% of samples are within ISO15197:2013 accuracy specifications.</w:t>
      </w:r>
      <w:r w:rsidR="00513BCE" w:rsidRPr="00180B15">
        <w:rPr>
          <w:rStyle w:val="EndnoteReference"/>
          <w:sz w:val="20"/>
          <w:szCs w:val="20"/>
        </w:rPr>
        <w:endnoteReference w:id="8"/>
      </w:r>
      <w:r w:rsidR="00513BCE" w:rsidRPr="00180B15">
        <w:rPr>
          <w:sz w:val="20"/>
          <w:szCs w:val="20"/>
        </w:rPr>
        <w:t xml:space="preserve"> </w:t>
      </w:r>
      <w:r w:rsidR="008E2FC4">
        <w:rPr>
          <w:sz w:val="20"/>
          <w:szCs w:val="20"/>
        </w:rPr>
        <w:t>This type of inaccuracy has potential dangerous consequences for the patient</w:t>
      </w:r>
      <w:r w:rsidR="00AA6146">
        <w:rPr>
          <w:sz w:val="20"/>
          <w:szCs w:val="20"/>
        </w:rPr>
        <w:t xml:space="preserve"> and so a need exists for a more reliable system. </w:t>
      </w:r>
      <w:r w:rsidR="00B341C3">
        <w:rPr>
          <w:sz w:val="20"/>
          <w:szCs w:val="20"/>
        </w:rPr>
        <w:t xml:space="preserve"> </w:t>
      </w:r>
    </w:p>
    <w:p w14:paraId="2F49A0FB" w14:textId="693A7496" w:rsidR="006B3FC7" w:rsidRPr="00180B15" w:rsidRDefault="006B3FC7" w:rsidP="00527127">
      <w:pPr>
        <w:rPr>
          <w:sz w:val="20"/>
          <w:szCs w:val="20"/>
        </w:rPr>
      </w:pPr>
      <w:r w:rsidRPr="00180B15">
        <w:rPr>
          <w:sz w:val="20"/>
          <w:szCs w:val="20"/>
        </w:rPr>
        <w:t xml:space="preserve">The present study compares the performance of the PETRACKR blood glucometer for dogs and cats against a laboratory instrument as a reference device. A wide range of </w:t>
      </w:r>
      <w:r w:rsidR="0053642E" w:rsidRPr="00180B15">
        <w:rPr>
          <w:sz w:val="20"/>
          <w:szCs w:val="20"/>
        </w:rPr>
        <w:t xml:space="preserve">blood glucose concentrations in diabetic and non-diabetic animals are included in this study. </w:t>
      </w:r>
    </w:p>
    <w:p w14:paraId="42595241" w14:textId="137D4B76" w:rsidR="00BC4A7B" w:rsidRPr="00180B15" w:rsidRDefault="00BC4A7B" w:rsidP="00BC4A7B">
      <w:pPr>
        <w:pStyle w:val="ListParagraph"/>
        <w:numPr>
          <w:ilvl w:val="0"/>
          <w:numId w:val="15"/>
        </w:numPr>
        <w:rPr>
          <w:b/>
          <w:bCs/>
          <w:sz w:val="20"/>
          <w:szCs w:val="20"/>
        </w:rPr>
      </w:pPr>
      <w:r w:rsidRPr="00180B15">
        <w:rPr>
          <w:b/>
          <w:bCs/>
          <w:sz w:val="20"/>
          <w:szCs w:val="20"/>
        </w:rPr>
        <w:t>Materials and Methods</w:t>
      </w:r>
    </w:p>
    <w:p w14:paraId="21FB1FAE" w14:textId="1D29CA64" w:rsidR="005619DE" w:rsidRPr="00180B15" w:rsidRDefault="005619DE" w:rsidP="005619DE">
      <w:pPr>
        <w:pStyle w:val="Heading2"/>
        <w:numPr>
          <w:ilvl w:val="1"/>
          <w:numId w:val="15"/>
        </w:numPr>
        <w:tabs>
          <w:tab w:val="clear" w:pos="720"/>
        </w:tabs>
        <w:rPr>
          <w:rFonts w:cs="Times New Roman"/>
          <w:b w:val="0"/>
          <w:bCs w:val="0"/>
          <w:i/>
          <w:iCs w:val="0"/>
          <w:sz w:val="20"/>
          <w:szCs w:val="20"/>
        </w:rPr>
      </w:pPr>
      <w:r w:rsidRPr="00180B15">
        <w:rPr>
          <w:rFonts w:cs="Times New Roman"/>
          <w:b w:val="0"/>
          <w:bCs w:val="0"/>
          <w:i/>
          <w:iCs w:val="0"/>
          <w:sz w:val="20"/>
          <w:szCs w:val="20"/>
        </w:rPr>
        <w:t>Animals</w:t>
      </w:r>
    </w:p>
    <w:p w14:paraId="4252ADFF" w14:textId="2B0E43A8" w:rsidR="00B84E64" w:rsidRPr="00180B15" w:rsidRDefault="00E80E24" w:rsidP="00B84E64">
      <w:pPr>
        <w:rPr>
          <w:sz w:val="20"/>
          <w:szCs w:val="20"/>
        </w:rPr>
      </w:pPr>
      <w:r w:rsidRPr="00180B15">
        <w:rPr>
          <w:sz w:val="20"/>
          <w:szCs w:val="20"/>
        </w:rPr>
        <w:t xml:space="preserve">A total of </w:t>
      </w:r>
      <w:r w:rsidR="00C4769B" w:rsidRPr="00180B15">
        <w:rPr>
          <w:sz w:val="20"/>
          <w:szCs w:val="20"/>
        </w:rPr>
        <w:t>5</w:t>
      </w:r>
      <w:r w:rsidR="008A4EEC">
        <w:rPr>
          <w:sz w:val="20"/>
          <w:szCs w:val="20"/>
        </w:rPr>
        <w:t>6</w:t>
      </w:r>
      <w:r w:rsidRPr="00180B15">
        <w:rPr>
          <w:sz w:val="20"/>
          <w:szCs w:val="20"/>
        </w:rPr>
        <w:t xml:space="preserve"> </w:t>
      </w:r>
      <w:r w:rsidR="00880C03" w:rsidRPr="00180B15">
        <w:rPr>
          <w:sz w:val="20"/>
          <w:szCs w:val="20"/>
        </w:rPr>
        <w:t xml:space="preserve">individual </w:t>
      </w:r>
      <w:r w:rsidRPr="00180B15">
        <w:rPr>
          <w:sz w:val="20"/>
          <w:szCs w:val="20"/>
        </w:rPr>
        <w:t xml:space="preserve">dogs and </w:t>
      </w:r>
      <w:r w:rsidR="00C4769B" w:rsidRPr="00180B15">
        <w:rPr>
          <w:sz w:val="20"/>
          <w:szCs w:val="20"/>
        </w:rPr>
        <w:t>54</w:t>
      </w:r>
      <w:r w:rsidRPr="00180B15">
        <w:rPr>
          <w:sz w:val="20"/>
          <w:szCs w:val="20"/>
        </w:rPr>
        <w:t xml:space="preserve"> </w:t>
      </w:r>
      <w:r w:rsidR="00880C03" w:rsidRPr="00180B15">
        <w:rPr>
          <w:sz w:val="20"/>
          <w:szCs w:val="20"/>
        </w:rPr>
        <w:t xml:space="preserve">individual </w:t>
      </w:r>
      <w:r w:rsidRPr="00180B15">
        <w:rPr>
          <w:sz w:val="20"/>
          <w:szCs w:val="20"/>
        </w:rPr>
        <w:t xml:space="preserve">cats admitted for medical intervention and care for diabetic and non-diabetic conditions requiring a blood draw were </w:t>
      </w:r>
      <w:r w:rsidR="009C3C16">
        <w:rPr>
          <w:sz w:val="20"/>
          <w:szCs w:val="20"/>
        </w:rPr>
        <w:t>selected</w:t>
      </w:r>
      <w:r w:rsidRPr="00180B15">
        <w:rPr>
          <w:sz w:val="20"/>
          <w:szCs w:val="20"/>
        </w:rPr>
        <w:t xml:space="preserve"> as participants for this study. Animals who provided a sample with a hematocrit outside of a range of 20 – 60% were excluded.</w:t>
      </w:r>
    </w:p>
    <w:p w14:paraId="10218ACE" w14:textId="15F3F9BE" w:rsidR="005619DE" w:rsidRPr="00180B15" w:rsidRDefault="005619DE" w:rsidP="005619DE">
      <w:pPr>
        <w:pStyle w:val="ListParagraph"/>
        <w:numPr>
          <w:ilvl w:val="1"/>
          <w:numId w:val="15"/>
        </w:numPr>
        <w:rPr>
          <w:i/>
          <w:iCs/>
          <w:sz w:val="20"/>
          <w:szCs w:val="20"/>
        </w:rPr>
      </w:pPr>
      <w:r w:rsidRPr="00180B15">
        <w:rPr>
          <w:i/>
          <w:iCs/>
          <w:sz w:val="20"/>
          <w:szCs w:val="20"/>
        </w:rPr>
        <w:t>Sample Collection and Test Protocols</w:t>
      </w:r>
    </w:p>
    <w:p w14:paraId="3D5F8A59" w14:textId="28D1C700" w:rsidR="005619DE" w:rsidRPr="00180B15" w:rsidRDefault="00B84E64" w:rsidP="000A00DB">
      <w:pPr>
        <w:rPr>
          <w:sz w:val="20"/>
          <w:szCs w:val="20"/>
        </w:rPr>
      </w:pPr>
      <w:r w:rsidRPr="00180B15">
        <w:rPr>
          <w:sz w:val="20"/>
          <w:szCs w:val="20"/>
        </w:rPr>
        <w:t xml:space="preserve">Approximately five millilitres of blood was drawn from the jugular, saphenous or </w:t>
      </w:r>
      <w:r w:rsidR="00A22FD1" w:rsidRPr="00180B15">
        <w:rPr>
          <w:sz w:val="20"/>
          <w:szCs w:val="20"/>
        </w:rPr>
        <w:t>cephalic</w:t>
      </w:r>
      <w:r w:rsidRPr="00180B15">
        <w:rPr>
          <w:sz w:val="20"/>
          <w:szCs w:val="20"/>
        </w:rPr>
        <w:t xml:space="preserve"> vein using a sterile </w:t>
      </w:r>
      <w:r w:rsidR="0080556D">
        <w:rPr>
          <w:sz w:val="20"/>
          <w:szCs w:val="20"/>
        </w:rPr>
        <w:t>28</w:t>
      </w:r>
      <w:r w:rsidRPr="00180B15">
        <w:rPr>
          <w:sz w:val="20"/>
          <w:szCs w:val="20"/>
        </w:rPr>
        <w:t xml:space="preserve"> </w:t>
      </w:r>
      <w:r w:rsidR="00A22FD1" w:rsidRPr="00180B15">
        <w:rPr>
          <w:sz w:val="20"/>
          <w:szCs w:val="20"/>
        </w:rPr>
        <w:t>gauge</w:t>
      </w:r>
      <w:r w:rsidRPr="00180B15">
        <w:rPr>
          <w:sz w:val="20"/>
          <w:szCs w:val="20"/>
        </w:rPr>
        <w:t xml:space="preserve"> needle and syringe.</w:t>
      </w:r>
      <w:r w:rsidR="00996F7A" w:rsidRPr="00180B15">
        <w:rPr>
          <w:sz w:val="20"/>
          <w:szCs w:val="20"/>
        </w:rPr>
        <w:t xml:space="preserve"> The site of the blood draw was selected for animal and phlebotomist saf</w:t>
      </w:r>
      <w:r w:rsidR="006412AF" w:rsidRPr="00180B15">
        <w:rPr>
          <w:sz w:val="20"/>
          <w:szCs w:val="20"/>
        </w:rPr>
        <w:t>ety and comfort and was not anticipated to affect the result.</w:t>
      </w:r>
      <w:r w:rsidRPr="00180B15">
        <w:rPr>
          <w:sz w:val="20"/>
          <w:szCs w:val="20"/>
        </w:rPr>
        <w:t xml:space="preserve"> Freshly drawn blood was immediately tested on the PETRACKR system in duplicate (requiring 0.7 µL of blood per test). </w:t>
      </w:r>
      <w:r w:rsidR="0004560C" w:rsidRPr="00180B15">
        <w:rPr>
          <w:sz w:val="20"/>
          <w:szCs w:val="20"/>
        </w:rPr>
        <w:t xml:space="preserve">The first drop was used to estimate the accuracy of the PETRACKR glucometer and the second used to estimate the system reproducibility. </w:t>
      </w:r>
      <w:r w:rsidRPr="00180B15">
        <w:rPr>
          <w:sz w:val="20"/>
          <w:szCs w:val="20"/>
        </w:rPr>
        <w:t>The remainder of the blood was used in diagnostic testing for the animals own medical condition but included a plasma-equivalent glucose concentration determination on the Roche Cobas</w:t>
      </w:r>
      <w:r w:rsidR="0060129C">
        <w:rPr>
          <w:sz w:val="20"/>
          <w:szCs w:val="20"/>
        </w:rPr>
        <w:t>®</w:t>
      </w:r>
      <w:r w:rsidRPr="00180B15">
        <w:rPr>
          <w:sz w:val="20"/>
          <w:szCs w:val="20"/>
        </w:rPr>
        <w:t xml:space="preserve"> c501 Biochemistry Analyser. </w:t>
      </w:r>
    </w:p>
    <w:p w14:paraId="0CA08EC6" w14:textId="61C25DD5" w:rsidR="005619DE" w:rsidRPr="00180B15" w:rsidRDefault="005619DE" w:rsidP="005619DE">
      <w:pPr>
        <w:pStyle w:val="ListParagraph"/>
        <w:numPr>
          <w:ilvl w:val="1"/>
          <w:numId w:val="15"/>
        </w:numPr>
        <w:rPr>
          <w:i/>
          <w:iCs/>
          <w:sz w:val="20"/>
          <w:szCs w:val="20"/>
        </w:rPr>
      </w:pPr>
      <w:r w:rsidRPr="00180B15">
        <w:rPr>
          <w:i/>
          <w:iCs/>
          <w:sz w:val="20"/>
          <w:szCs w:val="20"/>
        </w:rPr>
        <w:t>Blood Glucometers and Reference Methods</w:t>
      </w:r>
    </w:p>
    <w:p w14:paraId="03C4C8DF" w14:textId="494431AC" w:rsidR="005619DE" w:rsidRPr="00180B15" w:rsidRDefault="00F8568F" w:rsidP="003773F3">
      <w:pPr>
        <w:rPr>
          <w:sz w:val="20"/>
          <w:szCs w:val="20"/>
        </w:rPr>
      </w:pPr>
      <w:r w:rsidRPr="00180B15">
        <w:rPr>
          <w:sz w:val="20"/>
          <w:szCs w:val="20"/>
        </w:rPr>
        <w:t>The PETRACKR blood glucometer</w:t>
      </w:r>
      <w:r w:rsidR="0011500E" w:rsidRPr="00180B15">
        <w:rPr>
          <w:sz w:val="20"/>
          <w:szCs w:val="20"/>
        </w:rPr>
        <w:t>s were prepared by testing with a commercially available control solution before any subsequent testing</w:t>
      </w:r>
      <w:r w:rsidR="00626574" w:rsidRPr="00180B15">
        <w:rPr>
          <w:sz w:val="20"/>
          <w:szCs w:val="20"/>
        </w:rPr>
        <w:t xml:space="preserve"> to ensure they were working as expected. Testing occurred by applying whole blood to the test strip when prompted by the device. </w:t>
      </w:r>
      <w:r w:rsidR="00BF6B3C" w:rsidRPr="00180B15">
        <w:rPr>
          <w:sz w:val="20"/>
          <w:szCs w:val="20"/>
        </w:rPr>
        <w:t>The measuring range of the device is 20 – 600 mg/dL.</w:t>
      </w:r>
      <w:r w:rsidR="00626574" w:rsidRPr="00180B15">
        <w:rPr>
          <w:sz w:val="20"/>
          <w:szCs w:val="20"/>
        </w:rPr>
        <w:t xml:space="preserve"> </w:t>
      </w:r>
      <w:r w:rsidR="00B66FD7" w:rsidRPr="00180B15">
        <w:rPr>
          <w:sz w:val="20"/>
          <w:szCs w:val="20"/>
        </w:rPr>
        <w:t xml:space="preserve">The samples were centrifuged within 5 mins of blood draw and </w:t>
      </w:r>
      <w:r w:rsidR="002C6A55" w:rsidRPr="00180B15">
        <w:rPr>
          <w:sz w:val="20"/>
          <w:szCs w:val="20"/>
        </w:rPr>
        <w:t xml:space="preserve">the plasma was </w:t>
      </w:r>
      <w:r w:rsidR="00B66FD7" w:rsidRPr="00180B15">
        <w:rPr>
          <w:sz w:val="20"/>
          <w:szCs w:val="20"/>
        </w:rPr>
        <w:t>analysed on t</w:t>
      </w:r>
      <w:r w:rsidR="00626574" w:rsidRPr="00180B15">
        <w:rPr>
          <w:sz w:val="20"/>
          <w:szCs w:val="20"/>
        </w:rPr>
        <w:t>he Roche Cobas c501 Biochemistry</w:t>
      </w:r>
      <w:r w:rsidR="00B66FD7" w:rsidRPr="00180B15">
        <w:rPr>
          <w:sz w:val="20"/>
          <w:szCs w:val="20"/>
        </w:rPr>
        <w:t xml:space="preserve"> Analyser. </w:t>
      </w:r>
      <w:r w:rsidR="00A76134">
        <w:rPr>
          <w:sz w:val="20"/>
          <w:szCs w:val="20"/>
        </w:rPr>
        <w:t xml:space="preserve">The Cobas biochemistry analyser was calibrated weekly with commercial reagents, with two-point commercial control solutions run daily. </w:t>
      </w:r>
    </w:p>
    <w:p w14:paraId="3BC18271" w14:textId="17E946C6" w:rsidR="005619DE" w:rsidRPr="00180B15" w:rsidRDefault="005619DE" w:rsidP="005619DE">
      <w:pPr>
        <w:pStyle w:val="ListParagraph"/>
        <w:numPr>
          <w:ilvl w:val="1"/>
          <w:numId w:val="15"/>
        </w:numPr>
        <w:rPr>
          <w:rStyle w:val="Emphasis"/>
          <w:sz w:val="20"/>
          <w:szCs w:val="20"/>
        </w:rPr>
      </w:pPr>
      <w:r w:rsidRPr="00180B15">
        <w:rPr>
          <w:rStyle w:val="Emphasis"/>
          <w:sz w:val="20"/>
          <w:szCs w:val="20"/>
        </w:rPr>
        <w:t>Statistical Analysis</w:t>
      </w:r>
      <w:r w:rsidR="003773F3" w:rsidRPr="00180B15">
        <w:rPr>
          <w:rStyle w:val="Emphasis"/>
          <w:sz w:val="20"/>
          <w:szCs w:val="20"/>
        </w:rPr>
        <w:t xml:space="preserve"> and Acceptance Criteria</w:t>
      </w:r>
    </w:p>
    <w:p w14:paraId="1A74499E" w14:textId="0340BB27" w:rsidR="003773F3" w:rsidRPr="00180B15" w:rsidRDefault="003773F3" w:rsidP="003773F3">
      <w:pPr>
        <w:rPr>
          <w:sz w:val="20"/>
          <w:szCs w:val="20"/>
        </w:rPr>
      </w:pPr>
      <w:r w:rsidRPr="00180B15">
        <w:rPr>
          <w:sz w:val="20"/>
          <w:szCs w:val="20"/>
        </w:rPr>
        <w:t xml:space="preserve">The PETRACKR system was evaluated </w:t>
      </w:r>
      <w:r w:rsidR="003125D6" w:rsidRPr="00180B15">
        <w:rPr>
          <w:sz w:val="20"/>
          <w:szCs w:val="20"/>
        </w:rPr>
        <w:t xml:space="preserve">with respect to </w:t>
      </w:r>
      <w:r w:rsidRPr="00180B15">
        <w:rPr>
          <w:sz w:val="20"/>
          <w:szCs w:val="20"/>
        </w:rPr>
        <w:t>accuracy as per ISO15197:2013 standards for human blood glucometers</w:t>
      </w:r>
      <w:r w:rsidR="00DE4585">
        <w:rPr>
          <w:sz w:val="20"/>
          <w:szCs w:val="20"/>
        </w:rPr>
        <w:t>.</w:t>
      </w:r>
      <w:r w:rsidR="009A19B7">
        <w:rPr>
          <w:rStyle w:val="EndnoteReference"/>
          <w:sz w:val="20"/>
          <w:szCs w:val="20"/>
        </w:rPr>
        <w:endnoteReference w:id="9"/>
      </w:r>
      <w:r w:rsidR="001539B0" w:rsidRPr="00180B15">
        <w:rPr>
          <w:sz w:val="20"/>
          <w:szCs w:val="20"/>
        </w:rPr>
        <w:t xml:space="preserve"> These standards mandate that 95% of samples should fall within 15 mg/dL for glucose concentrations of </w:t>
      </w:r>
      <w:r w:rsidR="00586F6F" w:rsidRPr="00180B15">
        <w:rPr>
          <w:sz w:val="20"/>
          <w:szCs w:val="20"/>
        </w:rPr>
        <w:t>≤</w:t>
      </w:r>
      <w:r w:rsidR="001539B0" w:rsidRPr="00180B15">
        <w:rPr>
          <w:sz w:val="20"/>
          <w:szCs w:val="20"/>
        </w:rPr>
        <w:t xml:space="preserve"> 100 mg/dL or 15% </w:t>
      </w:r>
      <w:r w:rsidR="003125D6" w:rsidRPr="00180B15">
        <w:rPr>
          <w:sz w:val="20"/>
          <w:szCs w:val="20"/>
        </w:rPr>
        <w:t xml:space="preserve">above </w:t>
      </w:r>
      <w:r w:rsidR="001539B0" w:rsidRPr="00180B15">
        <w:rPr>
          <w:sz w:val="20"/>
          <w:szCs w:val="20"/>
        </w:rPr>
        <w:t>of this range. The risk of any inaccuracies was evaluated against Parkes Consensus Error Grid</w:t>
      </w:r>
      <w:r w:rsidR="00AD6280" w:rsidRPr="00180B15">
        <w:rPr>
          <w:sz w:val="20"/>
          <w:szCs w:val="20"/>
        </w:rPr>
        <w:t>.</w:t>
      </w:r>
      <w:bookmarkStart w:id="0" w:name="_Ref137642995"/>
      <w:r w:rsidR="00586F6F" w:rsidRPr="00180B15">
        <w:rPr>
          <w:rStyle w:val="EndnoteReference"/>
          <w:sz w:val="20"/>
          <w:szCs w:val="20"/>
        </w:rPr>
        <w:endnoteReference w:id="10"/>
      </w:r>
      <w:bookmarkEnd w:id="0"/>
      <w:r w:rsidR="00586F6F" w:rsidRPr="00180B15">
        <w:rPr>
          <w:sz w:val="20"/>
          <w:szCs w:val="20"/>
        </w:rPr>
        <w:t xml:space="preserve"> </w:t>
      </w:r>
      <w:r w:rsidR="00AD6280" w:rsidRPr="00180B15">
        <w:rPr>
          <w:sz w:val="20"/>
          <w:szCs w:val="20"/>
        </w:rPr>
        <w:t xml:space="preserve"> This divides any method comparison into zones A – E, with each zone </w:t>
      </w:r>
      <w:r w:rsidR="00DE3D2E" w:rsidRPr="00180B15">
        <w:rPr>
          <w:sz w:val="20"/>
          <w:szCs w:val="20"/>
        </w:rPr>
        <w:t xml:space="preserve">indicating a different risk profile to the patient (see figure </w:t>
      </w:r>
      <w:r w:rsidR="00DE4585">
        <w:rPr>
          <w:sz w:val="20"/>
          <w:szCs w:val="20"/>
        </w:rPr>
        <w:t>3</w:t>
      </w:r>
      <w:r w:rsidR="00DE3D2E" w:rsidRPr="00180B15">
        <w:rPr>
          <w:sz w:val="20"/>
          <w:szCs w:val="20"/>
        </w:rPr>
        <w:t>).</w:t>
      </w:r>
    </w:p>
    <w:p w14:paraId="65ECB4FA" w14:textId="45D2951B" w:rsidR="00DE3D2E" w:rsidRPr="00180B15" w:rsidRDefault="00DE3D2E" w:rsidP="003773F3">
      <w:pPr>
        <w:rPr>
          <w:sz w:val="20"/>
          <w:szCs w:val="20"/>
        </w:rPr>
      </w:pPr>
      <w:r w:rsidRPr="00180B15">
        <w:rPr>
          <w:sz w:val="20"/>
          <w:szCs w:val="20"/>
        </w:rPr>
        <w:t xml:space="preserve">Regression statistics were generated by Analyse-It plugin </w:t>
      </w:r>
      <w:r w:rsidR="007B2C00" w:rsidRPr="00180B15">
        <w:rPr>
          <w:sz w:val="20"/>
          <w:szCs w:val="20"/>
        </w:rPr>
        <w:t xml:space="preserve">(v. </w:t>
      </w:r>
      <w:r w:rsidR="009F5A40" w:rsidRPr="00180B15">
        <w:rPr>
          <w:sz w:val="20"/>
          <w:szCs w:val="20"/>
        </w:rPr>
        <w:t>5.66</w:t>
      </w:r>
      <w:r w:rsidR="007B2C00" w:rsidRPr="00180B15">
        <w:rPr>
          <w:sz w:val="20"/>
          <w:szCs w:val="20"/>
        </w:rPr>
        <w:t xml:space="preserve">) </w:t>
      </w:r>
      <w:r w:rsidRPr="00180B15">
        <w:rPr>
          <w:sz w:val="20"/>
          <w:szCs w:val="20"/>
        </w:rPr>
        <w:t>for Microsoft Excel using Ordinary Deming Regression at the 95% confidence interval and the 5% significan</w:t>
      </w:r>
      <w:r w:rsidR="00586F6F" w:rsidRPr="00180B15">
        <w:rPr>
          <w:sz w:val="20"/>
          <w:szCs w:val="20"/>
        </w:rPr>
        <w:t>ce</w:t>
      </w:r>
      <w:r w:rsidRPr="00180B15">
        <w:rPr>
          <w:sz w:val="20"/>
          <w:szCs w:val="20"/>
        </w:rPr>
        <w:t xml:space="preserve"> level. </w:t>
      </w:r>
    </w:p>
    <w:p w14:paraId="41D4DF2E" w14:textId="65FB53C8" w:rsidR="000237AB" w:rsidRPr="00180B15" w:rsidRDefault="000237AB" w:rsidP="000237AB">
      <w:pPr>
        <w:pStyle w:val="Heading2"/>
        <w:numPr>
          <w:ilvl w:val="0"/>
          <w:numId w:val="15"/>
        </w:numPr>
        <w:rPr>
          <w:rFonts w:cs="Times New Roman"/>
          <w:sz w:val="20"/>
          <w:szCs w:val="20"/>
        </w:rPr>
      </w:pPr>
      <w:r w:rsidRPr="00180B15">
        <w:rPr>
          <w:rFonts w:cs="Times New Roman"/>
          <w:sz w:val="20"/>
          <w:szCs w:val="20"/>
        </w:rPr>
        <w:lastRenderedPageBreak/>
        <w:t>Results</w:t>
      </w:r>
      <w:r w:rsidR="00560019" w:rsidRPr="00180B15">
        <w:rPr>
          <w:rFonts w:cs="Times New Roman"/>
          <w:sz w:val="20"/>
          <w:szCs w:val="20"/>
        </w:rPr>
        <w:t xml:space="preserve"> and Discussion</w:t>
      </w:r>
    </w:p>
    <w:p w14:paraId="027B6F29" w14:textId="57FB9FAD" w:rsidR="009F3307" w:rsidRPr="00180B15" w:rsidRDefault="009F3307" w:rsidP="009F3307">
      <w:pPr>
        <w:rPr>
          <w:i/>
          <w:iCs/>
          <w:sz w:val="20"/>
          <w:szCs w:val="20"/>
        </w:rPr>
      </w:pPr>
      <w:r w:rsidRPr="00180B15">
        <w:rPr>
          <w:sz w:val="20"/>
          <w:szCs w:val="20"/>
        </w:rPr>
        <w:t xml:space="preserve">3.1 </w:t>
      </w:r>
      <w:r w:rsidRPr="00180B15">
        <w:rPr>
          <w:i/>
          <w:iCs/>
          <w:sz w:val="20"/>
          <w:szCs w:val="20"/>
        </w:rPr>
        <w:t>Method Comparison and Regression Analysis</w:t>
      </w:r>
    </w:p>
    <w:p w14:paraId="10BE2050" w14:textId="0CF02E6E" w:rsidR="000237AB" w:rsidRDefault="00765D3E" w:rsidP="000237AB">
      <w:pPr>
        <w:rPr>
          <w:sz w:val="20"/>
          <w:szCs w:val="20"/>
        </w:rPr>
      </w:pPr>
      <w:r w:rsidRPr="00180B15">
        <w:rPr>
          <w:sz w:val="20"/>
          <w:szCs w:val="20"/>
        </w:rPr>
        <w:t xml:space="preserve">The population distribution of participants of this study was found to be </w:t>
      </w:r>
      <w:r w:rsidR="00B96363" w:rsidRPr="00180B15">
        <w:rPr>
          <w:sz w:val="20"/>
          <w:szCs w:val="20"/>
        </w:rPr>
        <w:t xml:space="preserve">asymmetric </w:t>
      </w:r>
      <w:r w:rsidR="003453CD" w:rsidRPr="00180B15">
        <w:rPr>
          <w:sz w:val="20"/>
          <w:szCs w:val="20"/>
        </w:rPr>
        <w:t xml:space="preserve">with a mean </w:t>
      </w:r>
      <w:r w:rsidR="005726A8" w:rsidRPr="00180B15">
        <w:rPr>
          <w:sz w:val="20"/>
          <w:szCs w:val="20"/>
        </w:rPr>
        <w:t xml:space="preserve">value </w:t>
      </w:r>
      <w:r w:rsidR="003453CD" w:rsidRPr="00180B15">
        <w:rPr>
          <w:sz w:val="20"/>
          <w:szCs w:val="20"/>
        </w:rPr>
        <w:t xml:space="preserve">just above the normal blood glucose range in </w:t>
      </w:r>
      <w:r w:rsidR="005867F2" w:rsidRPr="00180B15">
        <w:rPr>
          <w:sz w:val="20"/>
          <w:szCs w:val="20"/>
        </w:rPr>
        <w:t xml:space="preserve">these animals </w:t>
      </w:r>
      <w:r w:rsidR="003453CD" w:rsidRPr="00180B15">
        <w:rPr>
          <w:sz w:val="20"/>
          <w:szCs w:val="20"/>
        </w:rPr>
        <w:t xml:space="preserve">(Figure </w:t>
      </w:r>
      <w:r w:rsidR="00DE4585">
        <w:rPr>
          <w:sz w:val="20"/>
          <w:szCs w:val="20"/>
        </w:rPr>
        <w:t>1</w:t>
      </w:r>
      <w:r w:rsidR="003453CD" w:rsidRPr="00180B15">
        <w:rPr>
          <w:sz w:val="20"/>
          <w:szCs w:val="20"/>
        </w:rPr>
        <w:t xml:space="preserve">). </w:t>
      </w:r>
    </w:p>
    <w:p w14:paraId="2B62743B" w14:textId="5BFD370B" w:rsidR="003156FA" w:rsidRPr="005F032A" w:rsidRDefault="005F032A" w:rsidP="000237AB">
      <w:pPr>
        <w:rPr>
          <w:sz w:val="20"/>
          <w:szCs w:val="20"/>
        </w:rPr>
      </w:pPr>
      <w:r w:rsidRPr="005F032A">
        <w:rPr>
          <w:noProof/>
          <w:sz w:val="20"/>
          <w:szCs w:val="20"/>
        </w:rPr>
        <w:drawing>
          <wp:inline distT="0" distB="0" distL="0" distR="0" wp14:anchorId="41BE08CE" wp14:editId="3F851B3D">
            <wp:extent cx="3014980" cy="2308225"/>
            <wp:effectExtent l="0" t="0" r="0" b="0"/>
            <wp:docPr id="7549266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926668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69F0">
        <w:br/>
      </w:r>
      <w:r w:rsidR="00A569F0" w:rsidRPr="00AE7819">
        <w:rPr>
          <w:b/>
          <w:bCs/>
          <w:sz w:val="20"/>
          <w:szCs w:val="22"/>
        </w:rPr>
        <w:t xml:space="preserve">Figure </w:t>
      </w:r>
      <w:r w:rsidR="00DE4585" w:rsidRPr="00AE7819">
        <w:rPr>
          <w:b/>
          <w:bCs/>
          <w:sz w:val="20"/>
          <w:szCs w:val="22"/>
        </w:rPr>
        <w:t>1</w:t>
      </w:r>
      <w:r w:rsidR="00A569F0" w:rsidRPr="00AE7819">
        <w:rPr>
          <w:b/>
          <w:bCs/>
          <w:sz w:val="20"/>
          <w:szCs w:val="22"/>
        </w:rPr>
        <w:t xml:space="preserve"> – Blood glucose sample distribution shows the </w:t>
      </w:r>
      <w:r w:rsidR="0019693F" w:rsidRPr="00AE7819">
        <w:rPr>
          <w:b/>
          <w:bCs/>
          <w:sz w:val="20"/>
          <w:szCs w:val="22"/>
        </w:rPr>
        <w:t>majority of samples are within the normal blood glucose range.</w:t>
      </w:r>
      <w:r w:rsidR="0019693F" w:rsidRPr="00535526">
        <w:rPr>
          <w:b/>
          <w:bCs/>
          <w:i/>
          <w:iCs/>
          <w:sz w:val="20"/>
          <w:szCs w:val="22"/>
        </w:rPr>
        <w:t xml:space="preserve"> </w:t>
      </w:r>
    </w:p>
    <w:p w14:paraId="40888015" w14:textId="79D01D1C" w:rsidR="004C074A" w:rsidRDefault="000219BA" w:rsidP="000237AB">
      <w:pPr>
        <w:rPr>
          <w:sz w:val="20"/>
          <w:szCs w:val="22"/>
        </w:rPr>
      </w:pPr>
      <w:r>
        <w:rPr>
          <w:sz w:val="20"/>
          <w:szCs w:val="22"/>
        </w:rPr>
        <w:t xml:space="preserve">The lack of an even distribution of samples along the measuring range of the device </w:t>
      </w:r>
      <w:r w:rsidR="00CB5D28">
        <w:rPr>
          <w:sz w:val="20"/>
          <w:szCs w:val="22"/>
        </w:rPr>
        <w:t>are a limitation of this population demographic</w:t>
      </w:r>
      <w:r w:rsidR="004C074A">
        <w:rPr>
          <w:sz w:val="20"/>
          <w:szCs w:val="22"/>
        </w:rPr>
        <w:t>.</w:t>
      </w:r>
      <w:r w:rsidR="00CB5D28">
        <w:rPr>
          <w:sz w:val="20"/>
          <w:szCs w:val="22"/>
        </w:rPr>
        <w:t xml:space="preserve"> </w:t>
      </w:r>
      <w:r w:rsidR="004C074A">
        <w:rPr>
          <w:sz w:val="20"/>
          <w:szCs w:val="22"/>
        </w:rPr>
        <w:t xml:space="preserve">Despite this, </w:t>
      </w:r>
      <w:r w:rsidR="00CB5D28">
        <w:rPr>
          <w:sz w:val="20"/>
          <w:szCs w:val="22"/>
        </w:rPr>
        <w:t xml:space="preserve">a significant amount of samples within the critical normal blood glucose range provide excellent confidence in assessing the performance of the device without significantly increasing the difficulty of the study. </w:t>
      </w:r>
      <w:r w:rsidR="00E0538A">
        <w:rPr>
          <w:sz w:val="20"/>
          <w:szCs w:val="22"/>
        </w:rPr>
        <w:t xml:space="preserve">Furthermore, </w:t>
      </w:r>
      <w:r w:rsidR="0034474A">
        <w:rPr>
          <w:sz w:val="20"/>
          <w:szCs w:val="22"/>
        </w:rPr>
        <w:t xml:space="preserve">at these normal blood glucose concentrations, the zone of the Parkes consensus error grid </w:t>
      </w:r>
      <w:r w:rsidR="00112D45">
        <w:rPr>
          <w:sz w:val="20"/>
          <w:szCs w:val="22"/>
        </w:rPr>
        <w:t xml:space="preserve">are close to each other such that small inaccuracies can result in altered clinical action (figure </w:t>
      </w:r>
      <w:r w:rsidR="001B3A65">
        <w:rPr>
          <w:sz w:val="20"/>
          <w:szCs w:val="22"/>
        </w:rPr>
        <w:t>3</w:t>
      </w:r>
      <w:r w:rsidR="00112D45">
        <w:rPr>
          <w:sz w:val="20"/>
          <w:szCs w:val="22"/>
        </w:rPr>
        <w:t xml:space="preserve">). Therefore it is </w:t>
      </w:r>
      <w:r w:rsidR="008114B0">
        <w:rPr>
          <w:sz w:val="20"/>
          <w:szCs w:val="22"/>
        </w:rPr>
        <w:t xml:space="preserve">critical that the study contains sufficient samples in this region to properly assess patient risk. </w:t>
      </w:r>
    </w:p>
    <w:p w14:paraId="24902C07" w14:textId="3715BC71" w:rsidR="007C5209" w:rsidRDefault="004C074A" w:rsidP="000237AB">
      <w:pPr>
        <w:rPr>
          <w:sz w:val="20"/>
          <w:szCs w:val="22"/>
        </w:rPr>
      </w:pPr>
      <w:r>
        <w:rPr>
          <w:sz w:val="20"/>
          <w:szCs w:val="22"/>
        </w:rPr>
        <w:t xml:space="preserve">A comparison of the PETRACKR result with the reference analyser is shown in Figure </w:t>
      </w:r>
      <w:r w:rsidR="001B3A65">
        <w:rPr>
          <w:sz w:val="20"/>
          <w:szCs w:val="22"/>
        </w:rPr>
        <w:t>2</w:t>
      </w:r>
      <w:r>
        <w:rPr>
          <w:sz w:val="20"/>
          <w:szCs w:val="22"/>
        </w:rPr>
        <w:t xml:space="preserve">. </w:t>
      </w:r>
      <w:r w:rsidR="005707E3">
        <w:rPr>
          <w:sz w:val="20"/>
          <w:szCs w:val="22"/>
        </w:rPr>
        <w:t xml:space="preserve">Of the population tested, </w:t>
      </w:r>
      <w:r w:rsidR="00BE2D11">
        <w:rPr>
          <w:sz w:val="20"/>
          <w:szCs w:val="22"/>
        </w:rPr>
        <w:t>10</w:t>
      </w:r>
      <w:r w:rsidR="000E16C7">
        <w:rPr>
          <w:sz w:val="20"/>
          <w:szCs w:val="22"/>
        </w:rPr>
        <w:t>4</w:t>
      </w:r>
      <w:r w:rsidR="00BE2D11">
        <w:rPr>
          <w:sz w:val="20"/>
          <w:szCs w:val="22"/>
        </w:rPr>
        <w:t xml:space="preserve"> samples were found to fall within the ISO15197:2013 specifications for accuracy</w:t>
      </w:r>
      <w:r w:rsidR="00CE57EB">
        <w:rPr>
          <w:sz w:val="20"/>
          <w:szCs w:val="22"/>
        </w:rPr>
        <w:t xml:space="preserve"> (</w:t>
      </w:r>
      <w:r w:rsidR="007C5209">
        <w:rPr>
          <w:sz w:val="20"/>
          <w:szCs w:val="22"/>
        </w:rPr>
        <w:t xml:space="preserve">95%). </w:t>
      </w:r>
    </w:p>
    <w:p w14:paraId="557C5393" w14:textId="77777777" w:rsidR="003A4F43" w:rsidRDefault="003A4F43" w:rsidP="000237AB">
      <w:pPr>
        <w:rPr>
          <w:sz w:val="20"/>
          <w:szCs w:val="22"/>
        </w:rPr>
      </w:pPr>
    </w:p>
    <w:p w14:paraId="390EEBD6" w14:textId="2CEAA87D" w:rsidR="008263BF" w:rsidRDefault="008263BF" w:rsidP="000237AB">
      <w:pPr>
        <w:rPr>
          <w:sz w:val="20"/>
          <w:szCs w:val="22"/>
        </w:rPr>
      </w:pPr>
      <w:r w:rsidRPr="008263BF">
        <w:rPr>
          <w:noProof/>
          <w:sz w:val="20"/>
          <w:szCs w:val="22"/>
        </w:rPr>
        <w:drawing>
          <wp:inline distT="0" distB="0" distL="0" distR="0" wp14:anchorId="414E81AD" wp14:editId="5394B807">
            <wp:extent cx="3014980" cy="2308225"/>
            <wp:effectExtent l="0" t="0" r="0" b="0"/>
            <wp:docPr id="12019891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989117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CCE27" w14:textId="632BCB28" w:rsidR="008027D9" w:rsidRPr="008027D9" w:rsidRDefault="008027D9" w:rsidP="000237AB">
      <w:pPr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Figure </w:t>
      </w:r>
      <w:r w:rsidR="001B3A65">
        <w:rPr>
          <w:b/>
          <w:bCs/>
          <w:sz w:val="20"/>
          <w:szCs w:val="22"/>
        </w:rPr>
        <w:t>2</w:t>
      </w:r>
      <w:r>
        <w:rPr>
          <w:b/>
          <w:bCs/>
          <w:sz w:val="20"/>
          <w:szCs w:val="22"/>
        </w:rPr>
        <w:t xml:space="preserve"> – Method comparison curve between the Roche Cobas c501 reference analyser and the PETRACKR blood glucometer. The y=x line, linear regression and ISO15197:2013 accuracy specifications have been superposed. </w:t>
      </w:r>
    </w:p>
    <w:p w14:paraId="50F7F7AF" w14:textId="67C2E0F6" w:rsidR="00450B6C" w:rsidRDefault="003C7F02" w:rsidP="000237AB">
      <w:pPr>
        <w:rPr>
          <w:sz w:val="20"/>
          <w:szCs w:val="22"/>
        </w:rPr>
      </w:pPr>
      <w:r>
        <w:rPr>
          <w:sz w:val="20"/>
          <w:szCs w:val="22"/>
        </w:rPr>
        <w:t xml:space="preserve">The system reproducibility was also calculated and is presented in table </w:t>
      </w:r>
      <w:r w:rsidR="001B3A65">
        <w:rPr>
          <w:sz w:val="20"/>
          <w:szCs w:val="22"/>
        </w:rPr>
        <w:t>1</w:t>
      </w:r>
      <w:r>
        <w:rPr>
          <w:sz w:val="20"/>
          <w:szCs w:val="22"/>
        </w:rPr>
        <w:t xml:space="preserve"> along with regression statistics for this method comparison. Note that </w:t>
      </w:r>
      <w:r w:rsidR="00E2105C">
        <w:rPr>
          <w:sz w:val="20"/>
          <w:szCs w:val="22"/>
        </w:rPr>
        <w:t xml:space="preserve">the PETRACKR system does not require </w:t>
      </w:r>
      <w:r w:rsidR="00D46502">
        <w:rPr>
          <w:sz w:val="20"/>
          <w:szCs w:val="22"/>
        </w:rPr>
        <w:t xml:space="preserve">the user to differentiate </w:t>
      </w:r>
      <w:r w:rsidR="00E2105C">
        <w:rPr>
          <w:sz w:val="20"/>
          <w:szCs w:val="22"/>
        </w:rPr>
        <w:t xml:space="preserve">between cats and dogs and </w:t>
      </w:r>
      <w:r w:rsidR="00A973A6">
        <w:rPr>
          <w:sz w:val="20"/>
          <w:szCs w:val="22"/>
        </w:rPr>
        <w:t xml:space="preserve">no differences in the response to these populations was observed in this study. </w:t>
      </w:r>
    </w:p>
    <w:p w14:paraId="09EADB21" w14:textId="1CD2140E" w:rsidR="008027D9" w:rsidRPr="008027D9" w:rsidRDefault="008027D9" w:rsidP="000237AB">
      <w:pPr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Table </w:t>
      </w:r>
      <w:r w:rsidR="006F6749">
        <w:rPr>
          <w:b/>
          <w:bCs/>
          <w:sz w:val="20"/>
          <w:szCs w:val="22"/>
        </w:rPr>
        <w:t>1</w:t>
      </w:r>
      <w:r>
        <w:rPr>
          <w:b/>
          <w:bCs/>
          <w:sz w:val="20"/>
          <w:szCs w:val="22"/>
        </w:rPr>
        <w:t xml:space="preserve"> </w:t>
      </w:r>
      <w:r w:rsidR="00BD48B6">
        <w:rPr>
          <w:b/>
          <w:bCs/>
          <w:sz w:val="20"/>
          <w:szCs w:val="22"/>
        </w:rPr>
        <w:t>–</w:t>
      </w:r>
      <w:r>
        <w:rPr>
          <w:b/>
          <w:bCs/>
          <w:sz w:val="20"/>
          <w:szCs w:val="22"/>
        </w:rPr>
        <w:t xml:space="preserve"> </w:t>
      </w:r>
      <w:r w:rsidR="00BD48B6">
        <w:rPr>
          <w:b/>
          <w:bCs/>
          <w:sz w:val="20"/>
          <w:szCs w:val="22"/>
        </w:rPr>
        <w:t xml:space="preserve">Regression statistics and standard deviation between replicates summary table.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1624"/>
      </w:tblGrid>
      <w:tr w:rsidR="008B45BE" w14:paraId="1AD0CD8F" w14:textId="77777777" w:rsidTr="00BF45F1">
        <w:tc>
          <w:tcPr>
            <w:tcW w:w="3114" w:type="dxa"/>
          </w:tcPr>
          <w:p w14:paraId="386A2EBE" w14:textId="3EECFD28" w:rsidR="008B45BE" w:rsidRDefault="008B45BE" w:rsidP="00BF45F1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Statistic</w:t>
            </w:r>
          </w:p>
        </w:tc>
        <w:tc>
          <w:tcPr>
            <w:tcW w:w="1624" w:type="dxa"/>
          </w:tcPr>
          <w:p w14:paraId="5C8FFC59" w14:textId="4758558F" w:rsidR="008B45BE" w:rsidRDefault="008B45BE" w:rsidP="00BF45F1">
            <w:pPr>
              <w:spacing w:before="100" w:beforeAutospacing="1" w:after="100" w:afterAutospacing="1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Value</w:t>
            </w:r>
          </w:p>
        </w:tc>
      </w:tr>
      <w:tr w:rsidR="008B45BE" w14:paraId="7874E657" w14:textId="77777777" w:rsidTr="00BF45F1">
        <w:tc>
          <w:tcPr>
            <w:tcW w:w="3114" w:type="dxa"/>
          </w:tcPr>
          <w:p w14:paraId="255906E4" w14:textId="22DDE71C" w:rsidR="008B45BE" w:rsidRDefault="008B45BE" w:rsidP="00BF45F1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Pooled standard deviation between replicates</w:t>
            </w:r>
          </w:p>
        </w:tc>
        <w:tc>
          <w:tcPr>
            <w:tcW w:w="1624" w:type="dxa"/>
          </w:tcPr>
          <w:p w14:paraId="636A1A04" w14:textId="6F4D4A04" w:rsidR="008B45BE" w:rsidRDefault="00BF45F1" w:rsidP="00BF45F1">
            <w:pPr>
              <w:spacing w:before="100" w:beforeAutospacing="1" w:after="100" w:afterAutospacing="1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4.19 mg/dL</w:t>
            </w:r>
          </w:p>
        </w:tc>
      </w:tr>
      <w:tr w:rsidR="008B45BE" w14:paraId="07A3D7A7" w14:textId="77777777" w:rsidTr="00BF45F1">
        <w:tc>
          <w:tcPr>
            <w:tcW w:w="3114" w:type="dxa"/>
          </w:tcPr>
          <w:p w14:paraId="099255D3" w14:textId="10090F95" w:rsidR="008B45BE" w:rsidRDefault="008B45BE" w:rsidP="00BF45F1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Slope (95% CI using Ordinary Deming Regression) </w:t>
            </w:r>
          </w:p>
        </w:tc>
        <w:tc>
          <w:tcPr>
            <w:tcW w:w="1624" w:type="dxa"/>
          </w:tcPr>
          <w:p w14:paraId="4DF33E24" w14:textId="0CCF8E7A" w:rsidR="008B45BE" w:rsidRDefault="00BF45F1" w:rsidP="00BF45F1">
            <w:pPr>
              <w:spacing w:before="100" w:beforeAutospacing="1" w:after="100" w:afterAutospacing="1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1.137 to 1.206</w:t>
            </w:r>
          </w:p>
        </w:tc>
      </w:tr>
      <w:tr w:rsidR="008B45BE" w14:paraId="7327E920" w14:textId="77777777" w:rsidTr="00BF45F1">
        <w:tc>
          <w:tcPr>
            <w:tcW w:w="3114" w:type="dxa"/>
          </w:tcPr>
          <w:p w14:paraId="59C4C0B7" w14:textId="4F87D0D1" w:rsidR="008B45BE" w:rsidRDefault="00052112" w:rsidP="00BF45F1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y-</w:t>
            </w:r>
            <w:r w:rsidR="0030580E">
              <w:rPr>
                <w:sz w:val="20"/>
                <w:szCs w:val="22"/>
              </w:rPr>
              <w:t>i</w:t>
            </w:r>
            <w:r w:rsidR="008B45BE">
              <w:rPr>
                <w:sz w:val="20"/>
                <w:szCs w:val="22"/>
              </w:rPr>
              <w:t>ntercept (</w:t>
            </w:r>
            <w:r>
              <w:rPr>
                <w:sz w:val="20"/>
                <w:szCs w:val="22"/>
              </w:rPr>
              <w:t>95% CI using Ordinary Deming Regression)</w:t>
            </w:r>
          </w:p>
        </w:tc>
        <w:tc>
          <w:tcPr>
            <w:tcW w:w="1624" w:type="dxa"/>
          </w:tcPr>
          <w:p w14:paraId="6C22190D" w14:textId="44459705" w:rsidR="008B45BE" w:rsidRDefault="00BF45F1" w:rsidP="00BF45F1">
            <w:pPr>
              <w:spacing w:before="100" w:beforeAutospacing="1" w:after="100" w:afterAutospacing="1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-25.19 to -16.78</w:t>
            </w:r>
          </w:p>
        </w:tc>
      </w:tr>
      <w:tr w:rsidR="00052112" w14:paraId="3AC89E01" w14:textId="77777777" w:rsidTr="00BF45F1">
        <w:tc>
          <w:tcPr>
            <w:tcW w:w="3114" w:type="dxa"/>
          </w:tcPr>
          <w:p w14:paraId="54D4ECB2" w14:textId="04BAF643" w:rsidR="00052112" w:rsidRPr="00052112" w:rsidRDefault="00052112" w:rsidP="00BF45F1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</w:t>
            </w:r>
            <w:r>
              <w:rPr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07895683" w14:textId="45D91580" w:rsidR="00052112" w:rsidRDefault="00BF45F1" w:rsidP="00BF45F1">
            <w:pPr>
              <w:spacing w:before="100" w:beforeAutospacing="1" w:after="100" w:afterAutospacing="1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0.99</w:t>
            </w:r>
          </w:p>
        </w:tc>
      </w:tr>
    </w:tbl>
    <w:p w14:paraId="5090C047" w14:textId="7DCBCA00" w:rsidR="008B45BE" w:rsidRPr="00194058" w:rsidRDefault="00CE2F5C" w:rsidP="000237AB">
      <w:pPr>
        <w:rPr>
          <w:sz w:val="20"/>
          <w:szCs w:val="22"/>
        </w:rPr>
      </w:pPr>
      <w:r>
        <w:rPr>
          <w:sz w:val="20"/>
          <w:szCs w:val="22"/>
        </w:rPr>
        <w:t>The data shows that the PETRACKR correlates well to the Cobas reference device in this study</w:t>
      </w:r>
      <w:r w:rsidR="00194058">
        <w:rPr>
          <w:sz w:val="20"/>
          <w:szCs w:val="22"/>
        </w:rPr>
        <w:t xml:space="preserve"> (R</w:t>
      </w:r>
      <w:r w:rsidR="00194058">
        <w:rPr>
          <w:sz w:val="20"/>
          <w:szCs w:val="22"/>
          <w:vertAlign w:val="superscript"/>
        </w:rPr>
        <w:t>2</w:t>
      </w:r>
      <w:r w:rsidR="00194058">
        <w:rPr>
          <w:sz w:val="20"/>
          <w:szCs w:val="22"/>
        </w:rPr>
        <w:t>)</w:t>
      </w:r>
      <w:r>
        <w:rPr>
          <w:sz w:val="20"/>
          <w:szCs w:val="22"/>
        </w:rPr>
        <w:t xml:space="preserve">. A small number of data points were shown to be outside the ISO15197:2013 accuracy specification. The points at 400 mg/dL and above exhibit a high bias overall however more data is required to </w:t>
      </w:r>
      <w:r w:rsidR="00BA02C3">
        <w:rPr>
          <w:sz w:val="20"/>
          <w:szCs w:val="22"/>
        </w:rPr>
        <w:t>form a conclusion about any systematic bias of the device at this range.</w:t>
      </w:r>
      <w:r w:rsidR="00194058">
        <w:rPr>
          <w:sz w:val="20"/>
          <w:szCs w:val="22"/>
        </w:rPr>
        <w:t xml:space="preserve"> </w:t>
      </w:r>
    </w:p>
    <w:p w14:paraId="5FE3648F" w14:textId="6F8B08EF" w:rsidR="00901F57" w:rsidRDefault="00155071" w:rsidP="000237AB">
      <w:pPr>
        <w:rPr>
          <w:sz w:val="20"/>
          <w:szCs w:val="22"/>
        </w:rPr>
      </w:pPr>
      <w:r>
        <w:rPr>
          <w:sz w:val="20"/>
          <w:szCs w:val="22"/>
        </w:rPr>
        <w:t xml:space="preserve">The result distribution was also plotted on Parkes Consensus Error Grid to evaluate the risk of observed inaccuracies of the meter to the patient (Figure </w:t>
      </w:r>
      <w:r w:rsidR="006F6749">
        <w:rPr>
          <w:sz w:val="20"/>
          <w:szCs w:val="22"/>
        </w:rPr>
        <w:t>3</w:t>
      </w:r>
      <w:r>
        <w:rPr>
          <w:sz w:val="20"/>
          <w:szCs w:val="22"/>
        </w:rPr>
        <w:t>).</w:t>
      </w:r>
      <w:r w:rsidR="0095332E" w:rsidRPr="0095332E">
        <w:rPr>
          <w:sz w:val="20"/>
          <w:szCs w:val="22"/>
          <w:vertAlign w:val="superscript"/>
        </w:rPr>
        <w:fldChar w:fldCharType="begin"/>
      </w:r>
      <w:r w:rsidR="0095332E" w:rsidRPr="0095332E">
        <w:rPr>
          <w:sz w:val="20"/>
          <w:szCs w:val="22"/>
          <w:vertAlign w:val="superscript"/>
        </w:rPr>
        <w:instrText xml:space="preserve"> NOTEREF _Ref137642995 \h </w:instrText>
      </w:r>
      <w:r w:rsidR="0095332E">
        <w:rPr>
          <w:sz w:val="20"/>
          <w:szCs w:val="22"/>
          <w:vertAlign w:val="superscript"/>
        </w:rPr>
        <w:instrText xml:space="preserve"> \* MERGEFORMAT </w:instrText>
      </w:r>
      <w:r w:rsidR="0095332E" w:rsidRPr="0095332E">
        <w:rPr>
          <w:sz w:val="20"/>
          <w:szCs w:val="22"/>
          <w:vertAlign w:val="superscript"/>
        </w:rPr>
      </w:r>
      <w:r w:rsidR="0095332E" w:rsidRPr="0095332E">
        <w:rPr>
          <w:sz w:val="20"/>
          <w:szCs w:val="22"/>
          <w:vertAlign w:val="superscript"/>
        </w:rPr>
        <w:fldChar w:fldCharType="separate"/>
      </w:r>
      <w:r w:rsidR="0095332E" w:rsidRPr="0095332E">
        <w:rPr>
          <w:sz w:val="20"/>
          <w:szCs w:val="22"/>
          <w:vertAlign w:val="superscript"/>
        </w:rPr>
        <w:t>10</w:t>
      </w:r>
      <w:r w:rsidR="0095332E" w:rsidRPr="0095332E">
        <w:rPr>
          <w:sz w:val="20"/>
          <w:szCs w:val="22"/>
          <w:vertAlign w:val="superscript"/>
        </w:rPr>
        <w:fldChar w:fldCharType="end"/>
      </w:r>
      <w:r>
        <w:rPr>
          <w:sz w:val="20"/>
          <w:szCs w:val="22"/>
        </w:rPr>
        <w:t xml:space="preserve"> </w:t>
      </w:r>
      <w:r w:rsidR="0011168B">
        <w:rPr>
          <w:sz w:val="20"/>
          <w:szCs w:val="22"/>
        </w:rPr>
        <w:t xml:space="preserve">Parkes </w:t>
      </w:r>
      <w:r w:rsidR="00212C83">
        <w:rPr>
          <w:sz w:val="20"/>
          <w:szCs w:val="22"/>
        </w:rPr>
        <w:t>error grid was published in 2000 based on a survey of 100 physician attendees at the June 1994</w:t>
      </w:r>
      <w:r w:rsidR="0033569E">
        <w:rPr>
          <w:sz w:val="20"/>
          <w:szCs w:val="22"/>
        </w:rPr>
        <w:t xml:space="preserve"> American Diabetes Meeting.</w:t>
      </w:r>
      <w:r w:rsidR="00217A78">
        <w:rPr>
          <w:rStyle w:val="EndnoteReference"/>
          <w:sz w:val="20"/>
          <w:szCs w:val="22"/>
        </w:rPr>
        <w:endnoteReference w:id="11"/>
      </w:r>
      <w:r w:rsidR="0033569E">
        <w:rPr>
          <w:sz w:val="20"/>
          <w:szCs w:val="22"/>
        </w:rPr>
        <w:t xml:space="preserve"> It is intended </w:t>
      </w:r>
      <w:r w:rsidR="0089260B">
        <w:rPr>
          <w:sz w:val="20"/>
          <w:szCs w:val="22"/>
        </w:rPr>
        <w:t>an alternative to the Clarke grid</w:t>
      </w:r>
      <w:r w:rsidR="00ED0ECA">
        <w:rPr>
          <w:rStyle w:val="EndnoteReference"/>
          <w:sz w:val="20"/>
          <w:szCs w:val="22"/>
        </w:rPr>
        <w:endnoteReference w:id="12"/>
      </w:r>
      <w:r w:rsidR="0089260B">
        <w:rPr>
          <w:sz w:val="20"/>
          <w:szCs w:val="22"/>
        </w:rPr>
        <w:t xml:space="preserve"> which has been criticised for its placement of risk boundaries.</w:t>
      </w:r>
      <w:r w:rsidR="005D73AE">
        <w:rPr>
          <w:sz w:val="20"/>
          <w:szCs w:val="22"/>
          <w:vertAlign w:val="superscript"/>
        </w:rPr>
        <w:t>11</w:t>
      </w:r>
      <w:r w:rsidR="0089260B">
        <w:rPr>
          <w:sz w:val="20"/>
          <w:szCs w:val="22"/>
        </w:rPr>
        <w:t xml:space="preserve"> </w:t>
      </w:r>
      <w:r w:rsidR="00D47B10">
        <w:rPr>
          <w:sz w:val="20"/>
          <w:szCs w:val="22"/>
        </w:rPr>
        <w:t>Herein it was observed that only 1 sample (</w:t>
      </w:r>
      <w:r w:rsidR="004847D1">
        <w:rPr>
          <w:sz w:val="20"/>
          <w:szCs w:val="22"/>
        </w:rPr>
        <w:t>0.9% of samples) fell within zone B of the grid and the remining 99.1% was within zone A.</w:t>
      </w:r>
    </w:p>
    <w:p w14:paraId="7B7133E9" w14:textId="5973C9AC" w:rsidR="00AE7819" w:rsidRDefault="00AE7819" w:rsidP="000237AB">
      <w:pPr>
        <w:rPr>
          <w:sz w:val="20"/>
          <w:szCs w:val="22"/>
        </w:rPr>
      </w:pPr>
      <w:r w:rsidRPr="00AE7819">
        <w:rPr>
          <w:noProof/>
          <w:sz w:val="20"/>
          <w:szCs w:val="22"/>
        </w:rPr>
        <w:lastRenderedPageBreak/>
        <w:drawing>
          <wp:inline distT="0" distB="0" distL="0" distR="0" wp14:anchorId="4A0CB7FB" wp14:editId="397D2757">
            <wp:extent cx="3014980" cy="2308225"/>
            <wp:effectExtent l="0" t="0" r="0" b="0"/>
            <wp:docPr id="17175255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52558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27"/>
        <w:gridCol w:w="4111"/>
      </w:tblGrid>
      <w:tr w:rsidR="007F1158" w14:paraId="6063706B" w14:textId="77777777" w:rsidTr="00B53B59">
        <w:tc>
          <w:tcPr>
            <w:tcW w:w="627" w:type="dxa"/>
          </w:tcPr>
          <w:p w14:paraId="6ACEE3E1" w14:textId="12663ECC" w:rsidR="007F1158" w:rsidRDefault="007F1158" w:rsidP="00C80B40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Zone</w:t>
            </w:r>
          </w:p>
        </w:tc>
        <w:tc>
          <w:tcPr>
            <w:tcW w:w="4111" w:type="dxa"/>
          </w:tcPr>
          <w:p w14:paraId="1E092880" w14:textId="3B978BCA" w:rsidR="007F1158" w:rsidRDefault="007F1158" w:rsidP="00C80B40">
            <w:pPr>
              <w:spacing w:before="100" w:beforeAutospacing="1" w:after="100" w:afterAutospacing="1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Risk Profile</w:t>
            </w:r>
          </w:p>
        </w:tc>
      </w:tr>
      <w:tr w:rsidR="007F1158" w14:paraId="0F9A8EED" w14:textId="77777777" w:rsidTr="00B53B59">
        <w:tc>
          <w:tcPr>
            <w:tcW w:w="627" w:type="dxa"/>
          </w:tcPr>
          <w:p w14:paraId="61DCA25E" w14:textId="4059895D" w:rsidR="007F1158" w:rsidRDefault="007F1158" w:rsidP="00C80B40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</w:t>
            </w:r>
          </w:p>
        </w:tc>
        <w:tc>
          <w:tcPr>
            <w:tcW w:w="4111" w:type="dxa"/>
          </w:tcPr>
          <w:p w14:paraId="684DE6C2" w14:textId="2C7C6212" w:rsidR="007F1158" w:rsidRDefault="0062382B" w:rsidP="0062382B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 effect on clinical action</w:t>
            </w:r>
          </w:p>
        </w:tc>
      </w:tr>
      <w:tr w:rsidR="007F1158" w14:paraId="7B7E0EF1" w14:textId="77777777" w:rsidTr="00B53B59">
        <w:tc>
          <w:tcPr>
            <w:tcW w:w="627" w:type="dxa"/>
          </w:tcPr>
          <w:p w14:paraId="3769C389" w14:textId="43F0EFC4" w:rsidR="007F1158" w:rsidRDefault="007F1158" w:rsidP="00C80B40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</w:t>
            </w:r>
          </w:p>
        </w:tc>
        <w:tc>
          <w:tcPr>
            <w:tcW w:w="4111" w:type="dxa"/>
          </w:tcPr>
          <w:p w14:paraId="6F7F2367" w14:textId="17ECDD56" w:rsidR="007F1158" w:rsidRDefault="0062382B" w:rsidP="0062382B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Altered clinical action – little or no effect on clinical outcome.</w:t>
            </w:r>
          </w:p>
        </w:tc>
      </w:tr>
      <w:tr w:rsidR="007F1158" w14:paraId="72F37E64" w14:textId="77777777" w:rsidTr="00B53B59">
        <w:tc>
          <w:tcPr>
            <w:tcW w:w="627" w:type="dxa"/>
          </w:tcPr>
          <w:p w14:paraId="2E101C60" w14:textId="451E2ED4" w:rsidR="007F1158" w:rsidRDefault="007F1158" w:rsidP="00C80B40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</w:t>
            </w:r>
          </w:p>
        </w:tc>
        <w:tc>
          <w:tcPr>
            <w:tcW w:w="4111" w:type="dxa"/>
          </w:tcPr>
          <w:p w14:paraId="3B1D6D36" w14:textId="3DAFF4DD" w:rsidR="007F1158" w:rsidRDefault="0062382B" w:rsidP="0062382B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Altered clinical action – likely to effect clinical outcome</w:t>
            </w:r>
          </w:p>
        </w:tc>
      </w:tr>
      <w:tr w:rsidR="007F1158" w14:paraId="608DC71C" w14:textId="77777777" w:rsidTr="00B53B59">
        <w:tc>
          <w:tcPr>
            <w:tcW w:w="627" w:type="dxa"/>
          </w:tcPr>
          <w:p w14:paraId="0244B100" w14:textId="75E4453B" w:rsidR="007F1158" w:rsidRPr="00052112" w:rsidRDefault="007F1158" w:rsidP="00C80B40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</w:t>
            </w:r>
          </w:p>
        </w:tc>
        <w:tc>
          <w:tcPr>
            <w:tcW w:w="4111" w:type="dxa"/>
          </w:tcPr>
          <w:p w14:paraId="20470B6B" w14:textId="6D0319B8" w:rsidR="007F1158" w:rsidRDefault="0062382B" w:rsidP="0062382B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Altered clinical action – could have significant medical risk</w:t>
            </w:r>
          </w:p>
        </w:tc>
      </w:tr>
      <w:tr w:rsidR="007F1158" w14:paraId="14316E14" w14:textId="77777777" w:rsidTr="00B53B59">
        <w:tc>
          <w:tcPr>
            <w:tcW w:w="627" w:type="dxa"/>
          </w:tcPr>
          <w:p w14:paraId="7D8464C0" w14:textId="4758B973" w:rsidR="007F1158" w:rsidRDefault="007F1158" w:rsidP="00C80B40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</w:t>
            </w:r>
          </w:p>
        </w:tc>
        <w:tc>
          <w:tcPr>
            <w:tcW w:w="4111" w:type="dxa"/>
          </w:tcPr>
          <w:p w14:paraId="5B1A1F59" w14:textId="3F6D9095" w:rsidR="007F1158" w:rsidRDefault="0062382B" w:rsidP="0062382B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Altered clinical action – could have dangerous consequences.</w:t>
            </w:r>
          </w:p>
        </w:tc>
      </w:tr>
    </w:tbl>
    <w:p w14:paraId="218AA42B" w14:textId="69721703" w:rsidR="0075492D" w:rsidRPr="0075492D" w:rsidRDefault="0075492D" w:rsidP="000237AB">
      <w:pPr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Figure </w:t>
      </w:r>
      <w:r w:rsidR="005D73AE">
        <w:rPr>
          <w:b/>
          <w:bCs/>
          <w:sz w:val="20"/>
          <w:szCs w:val="22"/>
        </w:rPr>
        <w:t xml:space="preserve">3 </w:t>
      </w:r>
      <w:r>
        <w:rPr>
          <w:b/>
          <w:bCs/>
          <w:sz w:val="20"/>
          <w:szCs w:val="22"/>
        </w:rPr>
        <w:t xml:space="preserve">- Parkes consensus error grid </w:t>
      </w:r>
      <w:r w:rsidR="00A927AC">
        <w:rPr>
          <w:b/>
          <w:bCs/>
          <w:sz w:val="20"/>
          <w:szCs w:val="22"/>
        </w:rPr>
        <w:t xml:space="preserve">superposed on the data gathered in this study. </w:t>
      </w:r>
      <w:r w:rsidR="00FB6D49">
        <w:rPr>
          <w:b/>
          <w:bCs/>
          <w:sz w:val="20"/>
          <w:szCs w:val="22"/>
        </w:rPr>
        <w:t xml:space="preserve">Tabulated is the </w:t>
      </w:r>
      <w:r w:rsidR="007F1158">
        <w:rPr>
          <w:b/>
          <w:bCs/>
          <w:sz w:val="20"/>
          <w:szCs w:val="22"/>
        </w:rPr>
        <w:t>estimated risk on data falling within a certain zone.</w:t>
      </w:r>
    </w:p>
    <w:p w14:paraId="62DB3929" w14:textId="05D86BE4" w:rsidR="00E73187" w:rsidRPr="00001D2B" w:rsidRDefault="00001D2B" w:rsidP="00E73187">
      <w:pPr>
        <w:rPr>
          <w:sz w:val="20"/>
          <w:szCs w:val="22"/>
        </w:rPr>
      </w:pPr>
      <w:r>
        <w:rPr>
          <w:sz w:val="20"/>
          <w:szCs w:val="22"/>
        </w:rPr>
        <w:t xml:space="preserve">Therefore any inaccuracies exhibited by the system do not pose any risk to patients within the framework provided by the consensus error grid. </w:t>
      </w:r>
    </w:p>
    <w:p w14:paraId="7D321FA0" w14:textId="0FB2C042" w:rsidR="00E73187" w:rsidRPr="00A867D8" w:rsidRDefault="00E73187" w:rsidP="00E73187">
      <w:pPr>
        <w:pStyle w:val="ListParagraph"/>
        <w:numPr>
          <w:ilvl w:val="0"/>
          <w:numId w:val="15"/>
        </w:numPr>
        <w:rPr>
          <w:b/>
          <w:bCs/>
          <w:sz w:val="20"/>
          <w:szCs w:val="20"/>
        </w:rPr>
      </w:pPr>
      <w:r w:rsidRPr="00A867D8">
        <w:rPr>
          <w:b/>
          <w:bCs/>
          <w:sz w:val="20"/>
          <w:szCs w:val="20"/>
        </w:rPr>
        <w:t>Conclusion</w:t>
      </w:r>
    </w:p>
    <w:p w14:paraId="58615819" w14:textId="4B27DBBF" w:rsidR="00E73187" w:rsidRPr="00A867D8" w:rsidRDefault="00E01864" w:rsidP="00E73187">
      <w:pPr>
        <w:rPr>
          <w:sz w:val="20"/>
          <w:szCs w:val="20"/>
        </w:rPr>
      </w:pPr>
      <w:r w:rsidRPr="00A867D8">
        <w:rPr>
          <w:sz w:val="20"/>
          <w:szCs w:val="20"/>
        </w:rPr>
        <w:t xml:space="preserve">The PETRACKR </w:t>
      </w:r>
      <w:r w:rsidR="002E45D0" w:rsidRPr="00A867D8">
        <w:rPr>
          <w:sz w:val="20"/>
          <w:szCs w:val="20"/>
        </w:rPr>
        <w:t>handheld</w:t>
      </w:r>
      <w:r w:rsidR="00A50B9A" w:rsidRPr="00A867D8">
        <w:rPr>
          <w:sz w:val="20"/>
          <w:szCs w:val="20"/>
        </w:rPr>
        <w:t xml:space="preserve"> glucometer provides results </w:t>
      </w:r>
      <w:r w:rsidR="00F02F5B" w:rsidRPr="00A867D8">
        <w:rPr>
          <w:sz w:val="20"/>
          <w:szCs w:val="20"/>
        </w:rPr>
        <w:t xml:space="preserve">that are in accordance with </w:t>
      </w:r>
      <w:r w:rsidR="00A50B9A" w:rsidRPr="00A867D8">
        <w:rPr>
          <w:sz w:val="20"/>
          <w:szCs w:val="20"/>
        </w:rPr>
        <w:t xml:space="preserve">the standards described in ISO15197:2013 for human glucometer products. </w:t>
      </w:r>
      <w:r w:rsidR="005A5887" w:rsidRPr="00A867D8">
        <w:rPr>
          <w:sz w:val="20"/>
          <w:szCs w:val="20"/>
        </w:rPr>
        <w:t xml:space="preserve">Inaccuracies observed in the system evaluated </w:t>
      </w:r>
      <w:r w:rsidR="00F02F5B" w:rsidRPr="00A867D8">
        <w:rPr>
          <w:sz w:val="20"/>
          <w:szCs w:val="20"/>
        </w:rPr>
        <w:t>by using</w:t>
      </w:r>
      <w:r w:rsidR="005A5887" w:rsidRPr="00A867D8">
        <w:rPr>
          <w:sz w:val="20"/>
          <w:szCs w:val="20"/>
        </w:rPr>
        <w:t xml:space="preserve"> Parkes consensus error grid demonstrate that all samples provided results that accurately </w:t>
      </w:r>
      <w:r w:rsidR="004E4468" w:rsidRPr="00A867D8">
        <w:rPr>
          <w:sz w:val="20"/>
          <w:szCs w:val="20"/>
        </w:rPr>
        <w:t xml:space="preserve">reflected the </w:t>
      </w:r>
      <w:r w:rsidR="005433FA" w:rsidRPr="00A867D8">
        <w:rPr>
          <w:sz w:val="20"/>
          <w:szCs w:val="20"/>
        </w:rPr>
        <w:t>patient’s</w:t>
      </w:r>
      <w:r w:rsidR="004E4468" w:rsidRPr="00A867D8">
        <w:rPr>
          <w:sz w:val="20"/>
          <w:szCs w:val="20"/>
        </w:rPr>
        <w:t xml:space="preserve"> blood glucose</w:t>
      </w:r>
      <w:r w:rsidR="00897D37" w:rsidRPr="00A867D8">
        <w:rPr>
          <w:sz w:val="20"/>
          <w:szCs w:val="20"/>
        </w:rPr>
        <w:t xml:space="preserve"> in the context of their clinical treatment. </w:t>
      </w:r>
      <w:r w:rsidR="00110F3D" w:rsidRPr="00A867D8">
        <w:rPr>
          <w:sz w:val="20"/>
          <w:szCs w:val="20"/>
        </w:rPr>
        <w:t xml:space="preserve">Therefore the use of this glucometer for POC measurement of cats and dogs blood glucose is well supported in this study. </w:t>
      </w:r>
    </w:p>
    <w:p w14:paraId="55B3EB49" w14:textId="7FED23A4" w:rsidR="00E73187" w:rsidRPr="00A867D8" w:rsidRDefault="00E73187" w:rsidP="00A867D8">
      <w:pPr>
        <w:pStyle w:val="ListParagraph"/>
        <w:keepNext/>
        <w:numPr>
          <w:ilvl w:val="0"/>
          <w:numId w:val="15"/>
        </w:numPr>
        <w:ind w:left="714" w:hanging="357"/>
        <w:rPr>
          <w:b/>
          <w:bCs/>
          <w:sz w:val="20"/>
          <w:szCs w:val="20"/>
        </w:rPr>
      </w:pPr>
      <w:r w:rsidRPr="00A867D8">
        <w:rPr>
          <w:b/>
          <w:bCs/>
          <w:sz w:val="20"/>
          <w:szCs w:val="20"/>
        </w:rPr>
        <w:t>Animal Ethics Statement</w:t>
      </w:r>
    </w:p>
    <w:p w14:paraId="477D4B01" w14:textId="5A7BB795" w:rsidR="00E73187" w:rsidRPr="00A867D8" w:rsidRDefault="00D21DAE" w:rsidP="00E73187">
      <w:pPr>
        <w:rPr>
          <w:sz w:val="20"/>
          <w:szCs w:val="20"/>
        </w:rPr>
      </w:pPr>
      <w:r w:rsidRPr="00A867D8">
        <w:rPr>
          <w:sz w:val="20"/>
          <w:szCs w:val="20"/>
        </w:rPr>
        <w:t>Animal ethics oversight was provided by the Cornell University Institutional Animal Care and Use Committee</w:t>
      </w:r>
      <w:r w:rsidR="00F453F6" w:rsidRPr="00A867D8">
        <w:rPr>
          <w:sz w:val="20"/>
          <w:szCs w:val="20"/>
        </w:rPr>
        <w:t xml:space="preserve"> (Ref. 2022-0241)</w:t>
      </w:r>
      <w:r w:rsidRPr="00A867D8">
        <w:rPr>
          <w:sz w:val="20"/>
          <w:szCs w:val="20"/>
        </w:rPr>
        <w:t xml:space="preserve">. </w:t>
      </w:r>
    </w:p>
    <w:p w14:paraId="384E6ED1" w14:textId="0997D1B4" w:rsidR="00E73187" w:rsidRPr="00A867D8" w:rsidRDefault="0049632F" w:rsidP="0049632F">
      <w:pPr>
        <w:pStyle w:val="Heading2"/>
        <w:numPr>
          <w:ilvl w:val="0"/>
          <w:numId w:val="15"/>
        </w:numPr>
        <w:rPr>
          <w:rFonts w:cs="Times New Roman"/>
          <w:sz w:val="20"/>
          <w:szCs w:val="20"/>
        </w:rPr>
      </w:pPr>
      <w:r w:rsidRPr="00A867D8">
        <w:rPr>
          <w:rFonts w:cs="Times New Roman"/>
          <w:sz w:val="20"/>
          <w:szCs w:val="20"/>
        </w:rPr>
        <w:t xml:space="preserve">Funding </w:t>
      </w:r>
    </w:p>
    <w:p w14:paraId="2054954C" w14:textId="12111C27" w:rsidR="0049632F" w:rsidRPr="00A867D8" w:rsidRDefault="001A25C6" w:rsidP="0049632F">
      <w:pPr>
        <w:rPr>
          <w:sz w:val="20"/>
          <w:szCs w:val="20"/>
        </w:rPr>
      </w:pPr>
      <w:r w:rsidRPr="00A867D8">
        <w:rPr>
          <w:sz w:val="20"/>
          <w:szCs w:val="20"/>
        </w:rPr>
        <w:t>This study was funded by Universal Biosensors.</w:t>
      </w:r>
    </w:p>
    <w:p w14:paraId="325685BD" w14:textId="7FB82466" w:rsidR="00F609CC" w:rsidRPr="00A867D8" w:rsidRDefault="004F4707" w:rsidP="004F4707">
      <w:pPr>
        <w:pStyle w:val="ListParagraph"/>
        <w:numPr>
          <w:ilvl w:val="0"/>
          <w:numId w:val="15"/>
        </w:numPr>
        <w:rPr>
          <w:b/>
          <w:bCs/>
          <w:sz w:val="20"/>
          <w:szCs w:val="20"/>
        </w:rPr>
      </w:pPr>
      <w:r w:rsidRPr="00A867D8">
        <w:rPr>
          <w:b/>
          <w:bCs/>
          <w:sz w:val="20"/>
          <w:szCs w:val="20"/>
        </w:rPr>
        <w:t>Acknowledgements</w:t>
      </w:r>
    </w:p>
    <w:p w14:paraId="3D7DFD2C" w14:textId="08F2F8CF" w:rsidR="004F4707" w:rsidRPr="00A867D8" w:rsidRDefault="004F4707" w:rsidP="00B47AC4">
      <w:pPr>
        <w:rPr>
          <w:sz w:val="20"/>
          <w:szCs w:val="20"/>
        </w:rPr>
      </w:pPr>
      <w:r w:rsidRPr="00A867D8">
        <w:rPr>
          <w:sz w:val="20"/>
          <w:szCs w:val="20"/>
        </w:rPr>
        <w:t>We gratefully acknowledge the contributions of the</w:t>
      </w:r>
      <w:r w:rsidR="00960787" w:rsidRPr="00A867D8">
        <w:rPr>
          <w:sz w:val="20"/>
          <w:szCs w:val="20"/>
        </w:rPr>
        <w:t xml:space="preserve"> College of Veterinary Medicine at Cornell University and the following</w:t>
      </w:r>
      <w:r w:rsidRPr="00A867D8">
        <w:rPr>
          <w:sz w:val="20"/>
          <w:szCs w:val="20"/>
        </w:rPr>
        <w:t xml:space="preserve"> support and technical staff: </w:t>
      </w:r>
      <w:r w:rsidR="00B47AC4" w:rsidRPr="00A867D8">
        <w:rPr>
          <w:sz w:val="20"/>
          <w:szCs w:val="20"/>
        </w:rPr>
        <w:t>Carol E Frederick LVT VTS (ECC), Andrea L King LVT, Lucinda L. Bennett LVT, Megan L Lussier LVT, Kim Heath LVT, Vicki Weber LVT, Heather Campbell LVT.</w:t>
      </w:r>
    </w:p>
    <w:p w14:paraId="157EB11F" w14:textId="3D55B7DC" w:rsidR="0049632F" w:rsidRPr="00A867D8" w:rsidRDefault="0049632F" w:rsidP="0049632F">
      <w:pPr>
        <w:pStyle w:val="ListParagraph"/>
        <w:numPr>
          <w:ilvl w:val="0"/>
          <w:numId w:val="15"/>
        </w:numPr>
        <w:rPr>
          <w:b/>
          <w:bCs/>
          <w:sz w:val="20"/>
          <w:szCs w:val="20"/>
        </w:rPr>
      </w:pPr>
      <w:r w:rsidRPr="00A867D8">
        <w:rPr>
          <w:b/>
          <w:bCs/>
          <w:sz w:val="20"/>
          <w:szCs w:val="20"/>
        </w:rPr>
        <w:t>References</w:t>
      </w:r>
    </w:p>
    <w:p w14:paraId="235B623B" w14:textId="5CC1FB47" w:rsidR="00021DFC" w:rsidRPr="00A867D8" w:rsidRDefault="00021DFC" w:rsidP="00021DFC">
      <w:pPr>
        <w:pStyle w:val="EndnoteText"/>
        <w:spacing w:after="60"/>
      </w:pPr>
      <w:r w:rsidRPr="00A867D8">
        <w:rPr>
          <w:rStyle w:val="EndnoteReference"/>
          <w:vertAlign w:val="baseline"/>
        </w:rPr>
        <w:t>[</w:t>
      </w:r>
      <w:r w:rsidRPr="00A867D8">
        <w:t xml:space="preserve">1] D. G. O’Neill, Gostelow, R.; Orme, C.; Church, D. B.; Niessen, S. J. M.; Verheyen, K.; Brodbelt, D. C. (2016) </w:t>
      </w:r>
      <w:r w:rsidRPr="00A867D8">
        <w:rPr>
          <w:i/>
          <w:iCs/>
        </w:rPr>
        <w:t xml:space="preserve">J. Vet. Intern. Med. </w:t>
      </w:r>
      <w:r w:rsidRPr="00A867D8">
        <w:rPr>
          <w:b/>
          <w:bCs/>
        </w:rPr>
        <w:t>30</w:t>
      </w:r>
      <w:r w:rsidRPr="00A867D8">
        <w:t xml:space="preserve"> (4), pp. 964.</w:t>
      </w:r>
    </w:p>
    <w:p w14:paraId="03D432A0" w14:textId="0E3CB9D1" w:rsidR="00021DFC" w:rsidRPr="00A867D8" w:rsidRDefault="00021DFC" w:rsidP="00021DFC">
      <w:pPr>
        <w:pStyle w:val="EndnoteText"/>
        <w:spacing w:after="60"/>
      </w:pPr>
      <w:r w:rsidRPr="00A867D8">
        <w:rPr>
          <w:rStyle w:val="EndnoteReference"/>
          <w:vertAlign w:val="baseline"/>
        </w:rPr>
        <w:t>[</w:t>
      </w:r>
      <w:r w:rsidRPr="00A867D8">
        <w:t xml:space="preserve">2] Heeley, A. M.; O’Neill, D. G.; Davison, L. J.; Church, D. B.; Corless, E.K.; Brodbelt D. C. (2020) </w:t>
      </w:r>
      <w:r w:rsidRPr="00A867D8">
        <w:rPr>
          <w:i/>
          <w:iCs/>
        </w:rPr>
        <w:t xml:space="preserve">Canine Medicine and Genetics </w:t>
      </w:r>
      <w:r w:rsidRPr="00A867D8">
        <w:rPr>
          <w:b/>
          <w:bCs/>
        </w:rPr>
        <w:t>7</w:t>
      </w:r>
      <w:r w:rsidRPr="00A867D8">
        <w:t>(6).</w:t>
      </w:r>
    </w:p>
    <w:p w14:paraId="7EA6D8A5" w14:textId="140208DC" w:rsidR="00021DFC" w:rsidRPr="00A867D8" w:rsidRDefault="00021DFC" w:rsidP="00021DFC">
      <w:pPr>
        <w:pStyle w:val="EndnoteText"/>
        <w:spacing w:after="60"/>
      </w:pPr>
      <w:r w:rsidRPr="00A867D8">
        <w:rPr>
          <w:rStyle w:val="EndnoteReference"/>
          <w:vertAlign w:val="baseline"/>
        </w:rPr>
        <w:t>[</w:t>
      </w:r>
      <w:r w:rsidRPr="00A867D8">
        <w:t xml:space="preserve">3] American Veterinary Medial Association website: </w:t>
      </w:r>
      <w:hyperlink r:id="rId20" w:history="1">
        <w:r w:rsidRPr="00A867D8">
          <w:rPr>
            <w:rStyle w:val="Hyperlink"/>
            <w:color w:val="auto"/>
          </w:rPr>
          <w:t>https://www.avma.org/resources-tools/reports-statistics/us-pet-ownership-statistics</w:t>
        </w:r>
      </w:hyperlink>
      <w:r w:rsidRPr="00A867D8">
        <w:rPr>
          <w:u w:val="single"/>
        </w:rPr>
        <w:t xml:space="preserve">. </w:t>
      </w:r>
      <w:r w:rsidRPr="00A867D8">
        <w:t>Access date: 14JUN23.</w:t>
      </w:r>
    </w:p>
    <w:p w14:paraId="61D23ECE" w14:textId="091AE91D" w:rsidR="00021DFC" w:rsidRPr="00A867D8" w:rsidRDefault="00021DFC" w:rsidP="00021DFC">
      <w:pPr>
        <w:pStyle w:val="EndnoteText"/>
        <w:spacing w:after="60"/>
      </w:pPr>
      <w:r w:rsidRPr="00A867D8">
        <w:rPr>
          <w:rStyle w:val="EndnoteReference"/>
          <w:vertAlign w:val="baseline"/>
        </w:rPr>
        <w:t>[</w:t>
      </w:r>
      <w:r w:rsidRPr="00A867D8">
        <w:t xml:space="preserve">4] Loftus, J. P.; Wakshlag, J. J. (2015) </w:t>
      </w:r>
      <w:r w:rsidRPr="00A867D8">
        <w:rPr>
          <w:i/>
          <w:iCs/>
        </w:rPr>
        <w:t xml:space="preserve">Vet Med (Auckl) </w:t>
      </w:r>
      <w:r w:rsidRPr="00A867D8">
        <w:rPr>
          <w:b/>
          <w:bCs/>
        </w:rPr>
        <w:t>6:</w:t>
      </w:r>
      <w:r w:rsidRPr="00A867D8">
        <w:t>49-60.</w:t>
      </w:r>
    </w:p>
    <w:p w14:paraId="41FA2472" w14:textId="150816CB" w:rsidR="00021DFC" w:rsidRPr="00A867D8" w:rsidRDefault="00021DFC" w:rsidP="00021DFC">
      <w:pPr>
        <w:pStyle w:val="EndnoteText"/>
        <w:spacing w:after="60"/>
      </w:pPr>
      <w:r w:rsidRPr="00A867D8">
        <w:rPr>
          <w:rStyle w:val="EndnoteReference"/>
          <w:vertAlign w:val="baseline"/>
        </w:rPr>
        <w:t>[</w:t>
      </w:r>
      <w:r w:rsidRPr="00A867D8">
        <w:t xml:space="preserve">5] Lund, E. M.; Armstrong, P. J.; Kirk, C. A.; Klausner, J. S. (2006) </w:t>
      </w:r>
      <w:r w:rsidRPr="00A867D8">
        <w:rPr>
          <w:i/>
          <w:iCs/>
        </w:rPr>
        <w:t xml:space="preserve">Intern. J. Appl. Res. Med. </w:t>
      </w:r>
      <w:r w:rsidRPr="00A867D8">
        <w:rPr>
          <w:b/>
          <w:bCs/>
        </w:rPr>
        <w:t>4</w:t>
      </w:r>
      <w:r w:rsidRPr="00A867D8">
        <w:t>, 177.</w:t>
      </w:r>
    </w:p>
    <w:p w14:paraId="34551097" w14:textId="44768F85" w:rsidR="00021DFC" w:rsidRPr="00A867D8" w:rsidRDefault="00021DFC" w:rsidP="00021DFC">
      <w:pPr>
        <w:pStyle w:val="EndnoteText"/>
        <w:spacing w:after="60"/>
      </w:pPr>
      <w:r w:rsidRPr="00A867D8">
        <w:rPr>
          <w:rStyle w:val="EndnoteReference"/>
          <w:vertAlign w:val="baseline"/>
        </w:rPr>
        <w:t>[</w:t>
      </w:r>
      <w:r w:rsidRPr="00A867D8">
        <w:t xml:space="preserve">6] Lund, E. M.; Armstrong, P. J.; Kirk, C. A.; Klausner, J. S. (2005) </w:t>
      </w:r>
      <w:r w:rsidRPr="00A867D8">
        <w:rPr>
          <w:i/>
          <w:iCs/>
        </w:rPr>
        <w:t xml:space="preserve">Intern. J. Appl. Res. Med. </w:t>
      </w:r>
      <w:r w:rsidRPr="00A867D8">
        <w:rPr>
          <w:b/>
          <w:bCs/>
        </w:rPr>
        <w:t>3</w:t>
      </w:r>
      <w:r w:rsidRPr="00A867D8">
        <w:t>, 88.</w:t>
      </w:r>
    </w:p>
    <w:p w14:paraId="3E6A4F44" w14:textId="79A88638" w:rsidR="00021DFC" w:rsidRPr="00A867D8" w:rsidRDefault="00021DFC" w:rsidP="00021DFC">
      <w:pPr>
        <w:pStyle w:val="EndnoteText"/>
        <w:spacing w:after="60"/>
      </w:pPr>
      <w:r w:rsidRPr="00A867D8">
        <w:rPr>
          <w:rStyle w:val="EndnoteReference"/>
          <w:vertAlign w:val="baseline"/>
        </w:rPr>
        <w:t>[</w:t>
      </w:r>
      <w:r w:rsidRPr="00A867D8">
        <w:t xml:space="preserve">7] Kerr, M. G. (2002) </w:t>
      </w:r>
      <w:r w:rsidRPr="00A867D8">
        <w:rPr>
          <w:i/>
          <w:iCs/>
        </w:rPr>
        <w:t xml:space="preserve">Veterinary Laboratory Medicine Clinical Biochemistry and Haematology Second Edition </w:t>
      </w:r>
      <w:r w:rsidRPr="00A867D8">
        <w:t xml:space="preserve">Blackwell Science: Oxford. </w:t>
      </w:r>
    </w:p>
    <w:p w14:paraId="0F6FB873" w14:textId="04BEBE81" w:rsidR="00021DFC" w:rsidRPr="00A867D8" w:rsidRDefault="00021DFC" w:rsidP="00021DFC">
      <w:pPr>
        <w:pStyle w:val="EndnoteText"/>
        <w:spacing w:after="60"/>
      </w:pPr>
      <w:r w:rsidRPr="00A867D8">
        <w:rPr>
          <w:rStyle w:val="EndnoteReference"/>
          <w:vertAlign w:val="baseline"/>
        </w:rPr>
        <w:t>[</w:t>
      </w:r>
      <w:r w:rsidRPr="00A867D8">
        <w:t xml:space="preserve">8] Wolfenden, G.; James, F. E.; Hung, L H. T.; Bruce, M.; Thompson M. (2022) </w:t>
      </w:r>
      <w:r w:rsidRPr="00A867D8">
        <w:rPr>
          <w:i/>
          <w:iCs/>
        </w:rPr>
        <w:t xml:space="preserve">J. Small Anim. Prac. </w:t>
      </w:r>
      <w:r w:rsidRPr="00A867D8">
        <w:rPr>
          <w:b/>
          <w:bCs/>
        </w:rPr>
        <w:t xml:space="preserve">63 </w:t>
      </w:r>
      <w:r w:rsidRPr="00A867D8">
        <w:t>pp. 512.</w:t>
      </w:r>
    </w:p>
    <w:p w14:paraId="4C03D7F6" w14:textId="35660ABB" w:rsidR="00021DFC" w:rsidRPr="00A867D8" w:rsidRDefault="00021DFC" w:rsidP="00021DFC">
      <w:pPr>
        <w:pStyle w:val="EndnoteText"/>
        <w:spacing w:after="60"/>
      </w:pPr>
      <w:r w:rsidRPr="00A867D8">
        <w:rPr>
          <w:rStyle w:val="EndnoteReference"/>
          <w:vertAlign w:val="baseline"/>
        </w:rPr>
        <w:t>[</w:t>
      </w:r>
      <w:r w:rsidRPr="00A867D8">
        <w:t xml:space="preserve">9] ISO15197:2013 </w:t>
      </w:r>
      <w:r w:rsidRPr="00A867D8">
        <w:rPr>
          <w:i/>
          <w:iCs/>
        </w:rPr>
        <w:t xml:space="preserve">In vitro </w:t>
      </w:r>
      <w:r w:rsidRPr="00A867D8">
        <w:t>diagnostic test systems – Requirements for blood-glucose monitoring systems for self-testing in managing diabetes mellitus. Access date: 20/08/2013</w:t>
      </w:r>
    </w:p>
    <w:p w14:paraId="4A80DD72" w14:textId="6FAA53CD" w:rsidR="00021DFC" w:rsidRPr="00A867D8" w:rsidRDefault="00021DFC" w:rsidP="00021DFC">
      <w:pPr>
        <w:pStyle w:val="EndnoteText"/>
        <w:spacing w:after="60"/>
      </w:pPr>
      <w:r w:rsidRPr="00A867D8">
        <w:rPr>
          <w:rStyle w:val="EndnoteReference"/>
          <w:vertAlign w:val="baseline"/>
        </w:rPr>
        <w:t>[</w:t>
      </w:r>
      <w:r w:rsidRPr="00A867D8">
        <w:t xml:space="preserve">10] Parkes, J. J.; Prado, S.; Slatin, S. L.; Ginsberg, B. H. </w:t>
      </w:r>
      <w:r w:rsidRPr="00A867D8">
        <w:rPr>
          <w:i/>
          <w:iCs/>
        </w:rPr>
        <w:t xml:space="preserve">Diabetes Care </w:t>
      </w:r>
      <w:r w:rsidRPr="00A867D8">
        <w:t>23 (8) pp. 1143.</w:t>
      </w:r>
    </w:p>
    <w:p w14:paraId="4BD6D86A" w14:textId="77777777" w:rsidR="00B53B59" w:rsidRPr="00A867D8" w:rsidRDefault="00021DFC" w:rsidP="00021DFC">
      <w:pPr>
        <w:pStyle w:val="EndnoteText"/>
        <w:spacing w:before="60" w:after="60"/>
      </w:pPr>
      <w:r w:rsidRPr="00A867D8">
        <w:rPr>
          <w:rStyle w:val="EndnoteReference"/>
          <w:vertAlign w:val="baseline"/>
        </w:rPr>
        <w:t>[</w:t>
      </w:r>
      <w:r w:rsidRPr="00A867D8">
        <w:t xml:space="preserve">11] Pfützer, A. </w:t>
      </w:r>
      <w:r w:rsidRPr="00A867D8">
        <w:rPr>
          <w:i/>
          <w:iCs/>
        </w:rPr>
        <w:t>et al.</w:t>
      </w:r>
      <w:r w:rsidRPr="00A867D8">
        <w:t xml:space="preserve"> (2013) </w:t>
      </w:r>
      <w:r w:rsidRPr="00A867D8">
        <w:rPr>
          <w:i/>
          <w:iCs/>
        </w:rPr>
        <w:t xml:space="preserve">J. Diab. Sci. Tech. </w:t>
      </w:r>
      <w:r w:rsidRPr="00A867D8">
        <w:t>7(5) 1275.</w:t>
      </w:r>
    </w:p>
    <w:p w14:paraId="3EA78442" w14:textId="2FCC4DF1" w:rsidR="0049632F" w:rsidRPr="00A867D8" w:rsidRDefault="00021DFC" w:rsidP="00021DFC">
      <w:pPr>
        <w:pStyle w:val="EndnoteText"/>
        <w:spacing w:before="60" w:after="60"/>
      </w:pPr>
      <w:r w:rsidRPr="00A867D8">
        <w:rPr>
          <w:rStyle w:val="EndnoteReference"/>
          <w:vertAlign w:val="baseline"/>
        </w:rPr>
        <w:t>[</w:t>
      </w:r>
      <w:r w:rsidRPr="00A867D8">
        <w:t xml:space="preserve">12] Clarke, W. K. </w:t>
      </w:r>
      <w:r w:rsidRPr="00A867D8">
        <w:rPr>
          <w:i/>
          <w:iCs/>
        </w:rPr>
        <w:t xml:space="preserve">et al. </w:t>
      </w:r>
      <w:r w:rsidRPr="00A867D8">
        <w:t xml:space="preserve">(1987) </w:t>
      </w:r>
      <w:r w:rsidRPr="00A867D8">
        <w:rPr>
          <w:i/>
          <w:iCs/>
        </w:rPr>
        <w:t xml:space="preserve">Diab. Care </w:t>
      </w:r>
      <w:r w:rsidRPr="00A867D8">
        <w:t>10(5) 622.</w:t>
      </w:r>
    </w:p>
    <w:p w14:paraId="1C7B3B88" w14:textId="77777777" w:rsidR="0049632F" w:rsidRPr="00AD090B" w:rsidRDefault="0049632F" w:rsidP="0049632F">
      <w:pPr>
        <w:rPr>
          <w:b/>
          <w:bCs/>
        </w:rPr>
      </w:pPr>
    </w:p>
    <w:sectPr w:rsidR="0049632F" w:rsidRPr="00AD090B" w:rsidSect="00825DDA">
      <w:endnotePr>
        <w:numFmt w:val="decimal"/>
      </w:endnotePr>
      <w:type w:val="continuous"/>
      <w:pgSz w:w="11907" w:h="16839"/>
      <w:pgMar w:top="1440" w:right="851" w:bottom="1440" w:left="851" w:header="709" w:footer="45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5AF4" w14:textId="77777777" w:rsidR="0088595F" w:rsidRDefault="0088595F">
      <w:r>
        <w:separator/>
      </w:r>
    </w:p>
  </w:endnote>
  <w:endnote w:type="continuationSeparator" w:id="0">
    <w:p w14:paraId="76ABC66B" w14:textId="77777777" w:rsidR="0088595F" w:rsidRDefault="0088595F">
      <w:r>
        <w:continuationSeparator/>
      </w:r>
    </w:p>
  </w:endnote>
  <w:endnote w:id="1">
    <w:p w14:paraId="007212EB" w14:textId="77777777" w:rsidR="001D7288" w:rsidRPr="00021DFC" w:rsidRDefault="001D7288" w:rsidP="001D7288">
      <w:pPr>
        <w:pStyle w:val="EndnoteText"/>
        <w:rPr>
          <w:color w:val="FFFFFF" w:themeColor="background1"/>
          <w:sz w:val="2"/>
          <w:szCs w:val="2"/>
        </w:rPr>
      </w:pPr>
      <w:r w:rsidRPr="00021DFC">
        <w:rPr>
          <w:rStyle w:val="EndnoteReference"/>
          <w:color w:val="FFFFFF" w:themeColor="background1"/>
          <w:sz w:val="2"/>
          <w:szCs w:val="2"/>
        </w:rPr>
        <w:endnoteRef/>
      </w:r>
      <w:r w:rsidRPr="00021DFC">
        <w:rPr>
          <w:color w:val="FFFFFF" w:themeColor="background1"/>
          <w:sz w:val="2"/>
          <w:szCs w:val="2"/>
        </w:rPr>
        <w:t xml:space="preserve"> D. G. O’Neill, Gostelow, R.; Orme, C.; Church, D. B.; Niessen, S. J. M.; Verheyen, K.; Brodbelt, D. C. (2016) </w:t>
      </w:r>
      <w:r w:rsidRPr="00021DFC">
        <w:rPr>
          <w:i/>
          <w:iCs/>
          <w:color w:val="FFFFFF" w:themeColor="background1"/>
          <w:sz w:val="2"/>
          <w:szCs w:val="2"/>
        </w:rPr>
        <w:t xml:space="preserve">J. Vet. Intern. Med. </w:t>
      </w:r>
      <w:r w:rsidRPr="00021DFC">
        <w:rPr>
          <w:b/>
          <w:bCs/>
          <w:color w:val="FFFFFF" w:themeColor="background1"/>
          <w:sz w:val="2"/>
          <w:szCs w:val="2"/>
        </w:rPr>
        <w:t>30</w:t>
      </w:r>
      <w:r w:rsidRPr="00021DFC">
        <w:rPr>
          <w:color w:val="FFFFFF" w:themeColor="background1"/>
          <w:sz w:val="2"/>
          <w:szCs w:val="2"/>
        </w:rPr>
        <w:t xml:space="preserve"> (4), pp. 964.</w:t>
      </w:r>
    </w:p>
  </w:endnote>
  <w:endnote w:id="2">
    <w:p w14:paraId="7347AC2D" w14:textId="77777777" w:rsidR="001D7288" w:rsidRPr="00021DFC" w:rsidRDefault="001D7288" w:rsidP="001D7288">
      <w:pPr>
        <w:pStyle w:val="EndnoteText"/>
        <w:rPr>
          <w:color w:val="FFFFFF" w:themeColor="background1"/>
          <w:sz w:val="2"/>
          <w:szCs w:val="2"/>
        </w:rPr>
      </w:pPr>
      <w:r w:rsidRPr="00021DFC">
        <w:rPr>
          <w:rStyle w:val="EndnoteReference"/>
          <w:color w:val="FFFFFF" w:themeColor="background1"/>
          <w:sz w:val="2"/>
          <w:szCs w:val="2"/>
        </w:rPr>
        <w:endnoteRef/>
      </w:r>
      <w:r w:rsidRPr="00021DFC">
        <w:rPr>
          <w:color w:val="FFFFFF" w:themeColor="background1"/>
          <w:sz w:val="2"/>
          <w:szCs w:val="2"/>
        </w:rPr>
        <w:t xml:space="preserve"> Heeley, A. M.; O’Neill, D. G.; Davison, L. J.; Church, D. B.; Corless, E.K.; Brodbelt D. C. (2020) </w:t>
      </w:r>
      <w:r w:rsidRPr="00021DFC">
        <w:rPr>
          <w:i/>
          <w:iCs/>
          <w:color w:val="FFFFFF" w:themeColor="background1"/>
          <w:sz w:val="2"/>
          <w:szCs w:val="2"/>
        </w:rPr>
        <w:t xml:space="preserve">Canine Medicine and Genetics </w:t>
      </w:r>
      <w:r w:rsidRPr="00021DFC">
        <w:rPr>
          <w:b/>
          <w:bCs/>
          <w:color w:val="FFFFFF" w:themeColor="background1"/>
          <w:sz w:val="2"/>
          <w:szCs w:val="2"/>
        </w:rPr>
        <w:t>7</w:t>
      </w:r>
      <w:r w:rsidRPr="00021DFC">
        <w:rPr>
          <w:color w:val="FFFFFF" w:themeColor="background1"/>
          <w:sz w:val="2"/>
          <w:szCs w:val="2"/>
        </w:rPr>
        <w:t>(6).</w:t>
      </w:r>
    </w:p>
  </w:endnote>
  <w:endnote w:id="3">
    <w:p w14:paraId="78D9886C" w14:textId="415F95A7" w:rsidR="008460BC" w:rsidRPr="00021DFC" w:rsidRDefault="00021DFC">
      <w:pPr>
        <w:pStyle w:val="EndnoteText"/>
        <w:rPr>
          <w:color w:val="FFFFFF" w:themeColor="background1"/>
          <w:sz w:val="2"/>
          <w:szCs w:val="2"/>
        </w:rPr>
      </w:pPr>
      <w:r w:rsidRPr="00021DFC">
        <w:rPr>
          <w:rStyle w:val="EndnoteReference"/>
          <w:color w:val="FFFFFF" w:themeColor="background1"/>
          <w:sz w:val="2"/>
          <w:szCs w:val="2"/>
        </w:rPr>
        <w:endnoteRef/>
      </w:r>
      <w:r w:rsidR="008460BC" w:rsidRPr="00021DFC">
        <w:rPr>
          <w:rStyle w:val="EndnoteReference"/>
          <w:color w:val="FFFFFF" w:themeColor="background1"/>
          <w:sz w:val="2"/>
          <w:szCs w:val="2"/>
        </w:rPr>
        <w:endnoteRef/>
      </w:r>
      <w:r w:rsidR="008460BC" w:rsidRPr="00021DFC">
        <w:rPr>
          <w:color w:val="FFFFFF" w:themeColor="background1"/>
          <w:sz w:val="2"/>
          <w:szCs w:val="2"/>
        </w:rPr>
        <w:t xml:space="preserve"> American Veterinary Medial Association website: </w:t>
      </w:r>
      <w:hyperlink r:id="rId1" w:history="1">
        <w:r w:rsidR="008460BC" w:rsidRPr="00021DFC">
          <w:rPr>
            <w:rStyle w:val="Hyperlink"/>
            <w:color w:val="FFFFFF" w:themeColor="background1"/>
            <w:sz w:val="2"/>
            <w:szCs w:val="2"/>
          </w:rPr>
          <w:t>https://www.avma.org/resources-tools/reports-statistics/us-pet-ownership-statistics</w:t>
        </w:r>
      </w:hyperlink>
      <w:r w:rsidR="008460BC" w:rsidRPr="00021DFC">
        <w:rPr>
          <w:color w:val="FFFFFF" w:themeColor="background1"/>
          <w:sz w:val="2"/>
          <w:szCs w:val="2"/>
          <w:u w:val="single"/>
        </w:rPr>
        <w:t xml:space="preserve">. </w:t>
      </w:r>
      <w:r w:rsidR="008460BC" w:rsidRPr="00021DFC">
        <w:rPr>
          <w:color w:val="FFFFFF" w:themeColor="background1"/>
          <w:sz w:val="2"/>
          <w:szCs w:val="2"/>
        </w:rPr>
        <w:t>Access date: 14</w:t>
      </w:r>
      <w:r w:rsidR="00283691" w:rsidRPr="00021DFC">
        <w:rPr>
          <w:color w:val="FFFFFF" w:themeColor="background1"/>
          <w:sz w:val="2"/>
          <w:szCs w:val="2"/>
        </w:rPr>
        <w:t>JUN23.</w:t>
      </w:r>
    </w:p>
  </w:endnote>
  <w:endnote w:id="4">
    <w:p w14:paraId="0F31F150" w14:textId="3FB16C94" w:rsidR="00A73333" w:rsidRPr="00021DFC" w:rsidRDefault="00A73333">
      <w:pPr>
        <w:pStyle w:val="EndnoteText"/>
        <w:rPr>
          <w:color w:val="FFFFFF" w:themeColor="background1"/>
          <w:sz w:val="2"/>
          <w:szCs w:val="2"/>
        </w:rPr>
      </w:pPr>
      <w:r w:rsidRPr="00021DFC">
        <w:rPr>
          <w:rStyle w:val="EndnoteReference"/>
          <w:color w:val="FFFFFF" w:themeColor="background1"/>
          <w:sz w:val="2"/>
          <w:szCs w:val="2"/>
        </w:rPr>
        <w:endnoteRef/>
      </w:r>
      <w:r w:rsidRPr="00021DFC">
        <w:rPr>
          <w:color w:val="FFFFFF" w:themeColor="background1"/>
          <w:sz w:val="2"/>
          <w:szCs w:val="2"/>
        </w:rPr>
        <w:t xml:space="preserve"> </w:t>
      </w:r>
      <w:r w:rsidR="00E7150C" w:rsidRPr="00021DFC">
        <w:rPr>
          <w:color w:val="FFFFFF" w:themeColor="background1"/>
          <w:sz w:val="2"/>
          <w:szCs w:val="2"/>
        </w:rPr>
        <w:t>Loftus, J. P.; Wakshlag, J. J. (</w:t>
      </w:r>
      <w:r w:rsidR="00634DE9" w:rsidRPr="00021DFC">
        <w:rPr>
          <w:color w:val="FFFFFF" w:themeColor="background1"/>
          <w:sz w:val="2"/>
          <w:szCs w:val="2"/>
        </w:rPr>
        <w:t xml:space="preserve">2015) </w:t>
      </w:r>
      <w:r w:rsidR="00634DE9" w:rsidRPr="00021DFC">
        <w:rPr>
          <w:i/>
          <w:iCs/>
          <w:color w:val="FFFFFF" w:themeColor="background1"/>
          <w:sz w:val="2"/>
          <w:szCs w:val="2"/>
        </w:rPr>
        <w:t xml:space="preserve">Vet Med (Auckl) </w:t>
      </w:r>
      <w:r w:rsidR="00E24B11" w:rsidRPr="00021DFC">
        <w:rPr>
          <w:b/>
          <w:bCs/>
          <w:color w:val="FFFFFF" w:themeColor="background1"/>
          <w:sz w:val="2"/>
          <w:szCs w:val="2"/>
        </w:rPr>
        <w:t>6:</w:t>
      </w:r>
      <w:r w:rsidR="00E24B11" w:rsidRPr="00021DFC">
        <w:rPr>
          <w:color w:val="FFFFFF" w:themeColor="background1"/>
          <w:sz w:val="2"/>
          <w:szCs w:val="2"/>
        </w:rPr>
        <w:t>49-60.</w:t>
      </w:r>
    </w:p>
  </w:endnote>
  <w:endnote w:id="5">
    <w:p w14:paraId="744DC877" w14:textId="77777777" w:rsidR="006452DD" w:rsidRPr="00021DFC" w:rsidRDefault="000869FC">
      <w:pPr>
        <w:pStyle w:val="EndnoteText"/>
        <w:rPr>
          <w:color w:val="FFFFFF" w:themeColor="background1"/>
          <w:sz w:val="2"/>
          <w:szCs w:val="2"/>
        </w:rPr>
      </w:pPr>
      <w:r w:rsidRPr="00021DFC">
        <w:rPr>
          <w:rStyle w:val="EndnoteReference"/>
          <w:color w:val="FFFFFF" w:themeColor="background1"/>
          <w:sz w:val="2"/>
          <w:szCs w:val="2"/>
        </w:rPr>
        <w:endnoteRef/>
      </w:r>
      <w:r w:rsidRPr="00021DFC">
        <w:rPr>
          <w:color w:val="FFFFFF" w:themeColor="background1"/>
          <w:sz w:val="2"/>
          <w:szCs w:val="2"/>
        </w:rPr>
        <w:t xml:space="preserve"> </w:t>
      </w:r>
      <w:r w:rsidR="000C4018" w:rsidRPr="00021DFC">
        <w:rPr>
          <w:color w:val="FFFFFF" w:themeColor="background1"/>
          <w:sz w:val="2"/>
          <w:szCs w:val="2"/>
        </w:rPr>
        <w:t xml:space="preserve">Lund, E. M.; Armstrong, P. J.; Kirk, C. A.; Klausner, J. S. (2006) </w:t>
      </w:r>
      <w:r w:rsidR="000C4018" w:rsidRPr="00021DFC">
        <w:rPr>
          <w:i/>
          <w:iCs/>
          <w:color w:val="FFFFFF" w:themeColor="background1"/>
          <w:sz w:val="2"/>
          <w:szCs w:val="2"/>
        </w:rPr>
        <w:t xml:space="preserve">Intern. J. Appl. Res. Med. </w:t>
      </w:r>
      <w:r w:rsidR="000C4018" w:rsidRPr="00021DFC">
        <w:rPr>
          <w:b/>
          <w:bCs/>
          <w:color w:val="FFFFFF" w:themeColor="background1"/>
          <w:sz w:val="2"/>
          <w:szCs w:val="2"/>
        </w:rPr>
        <w:t>4</w:t>
      </w:r>
      <w:r w:rsidR="006452DD" w:rsidRPr="00021DFC">
        <w:rPr>
          <w:color w:val="FFFFFF" w:themeColor="background1"/>
          <w:sz w:val="2"/>
          <w:szCs w:val="2"/>
        </w:rPr>
        <w:t>, 177.</w:t>
      </w:r>
    </w:p>
    <w:p w14:paraId="6CCA2B12" w14:textId="1053A781" w:rsidR="000869FC" w:rsidRPr="00021DFC" w:rsidRDefault="000C4018">
      <w:pPr>
        <w:pStyle w:val="EndnoteText"/>
        <w:rPr>
          <w:color w:val="FFFFFF" w:themeColor="background1"/>
          <w:sz w:val="2"/>
          <w:szCs w:val="2"/>
        </w:rPr>
      </w:pPr>
      <w:r w:rsidRPr="00021DFC">
        <w:rPr>
          <w:color w:val="FFFFFF" w:themeColor="background1"/>
          <w:sz w:val="2"/>
          <w:szCs w:val="2"/>
        </w:rPr>
        <w:t xml:space="preserve"> </w:t>
      </w:r>
    </w:p>
  </w:endnote>
  <w:endnote w:id="6">
    <w:p w14:paraId="15D76E42" w14:textId="2814DB22" w:rsidR="006452DD" w:rsidRPr="00021DFC" w:rsidRDefault="006452DD">
      <w:pPr>
        <w:pStyle w:val="EndnoteText"/>
        <w:rPr>
          <w:color w:val="FFFFFF" w:themeColor="background1"/>
          <w:sz w:val="2"/>
          <w:szCs w:val="2"/>
        </w:rPr>
      </w:pPr>
      <w:r w:rsidRPr="00021DFC">
        <w:rPr>
          <w:rStyle w:val="EndnoteReference"/>
          <w:color w:val="FFFFFF" w:themeColor="background1"/>
          <w:sz w:val="2"/>
          <w:szCs w:val="2"/>
        </w:rPr>
        <w:endnoteRef/>
      </w:r>
      <w:r w:rsidRPr="00021DFC">
        <w:rPr>
          <w:color w:val="FFFFFF" w:themeColor="background1"/>
          <w:sz w:val="2"/>
          <w:szCs w:val="2"/>
        </w:rPr>
        <w:t xml:space="preserve"> Lund, E. M.; Armstrong, P. J.; Kirk, C. A.; Klausner, J. S. (2005) </w:t>
      </w:r>
      <w:r w:rsidRPr="00021DFC">
        <w:rPr>
          <w:i/>
          <w:iCs/>
          <w:color w:val="FFFFFF" w:themeColor="background1"/>
          <w:sz w:val="2"/>
          <w:szCs w:val="2"/>
        </w:rPr>
        <w:t xml:space="preserve">Intern. J. Appl. Res. Med. </w:t>
      </w:r>
      <w:r w:rsidRPr="00021DFC">
        <w:rPr>
          <w:b/>
          <w:bCs/>
          <w:color w:val="FFFFFF" w:themeColor="background1"/>
          <w:sz w:val="2"/>
          <w:szCs w:val="2"/>
        </w:rPr>
        <w:t>3</w:t>
      </w:r>
      <w:r w:rsidRPr="00021DFC">
        <w:rPr>
          <w:color w:val="FFFFFF" w:themeColor="background1"/>
          <w:sz w:val="2"/>
          <w:szCs w:val="2"/>
        </w:rPr>
        <w:t>, 88.</w:t>
      </w:r>
    </w:p>
  </w:endnote>
  <w:endnote w:id="7">
    <w:p w14:paraId="29B2B2BD" w14:textId="1ED36F90" w:rsidR="00745904" w:rsidRPr="00021DFC" w:rsidRDefault="00745904">
      <w:pPr>
        <w:pStyle w:val="EndnoteText"/>
        <w:rPr>
          <w:color w:val="FFFFFF" w:themeColor="background1"/>
          <w:sz w:val="2"/>
          <w:szCs w:val="2"/>
        </w:rPr>
      </w:pPr>
      <w:r w:rsidRPr="00021DFC">
        <w:rPr>
          <w:rStyle w:val="EndnoteReference"/>
          <w:color w:val="FFFFFF" w:themeColor="background1"/>
          <w:sz w:val="2"/>
          <w:szCs w:val="2"/>
        </w:rPr>
        <w:endnoteRef/>
      </w:r>
      <w:r w:rsidRPr="00021DFC">
        <w:rPr>
          <w:color w:val="FFFFFF" w:themeColor="background1"/>
          <w:sz w:val="2"/>
          <w:szCs w:val="2"/>
        </w:rPr>
        <w:t xml:space="preserve"> Kerr, M. G. </w:t>
      </w:r>
      <w:r w:rsidR="002D29DB" w:rsidRPr="00021DFC">
        <w:rPr>
          <w:color w:val="FFFFFF" w:themeColor="background1"/>
          <w:sz w:val="2"/>
          <w:szCs w:val="2"/>
        </w:rPr>
        <w:t xml:space="preserve">(2002) </w:t>
      </w:r>
      <w:r w:rsidR="009E36CE" w:rsidRPr="00021DFC">
        <w:rPr>
          <w:i/>
          <w:iCs/>
          <w:color w:val="FFFFFF" w:themeColor="background1"/>
          <w:sz w:val="2"/>
          <w:szCs w:val="2"/>
        </w:rPr>
        <w:t>Veterinary Laboratory Medicine</w:t>
      </w:r>
      <w:r w:rsidR="00A13AA6" w:rsidRPr="00021DFC">
        <w:rPr>
          <w:i/>
          <w:iCs/>
          <w:color w:val="FFFFFF" w:themeColor="background1"/>
          <w:sz w:val="2"/>
          <w:szCs w:val="2"/>
        </w:rPr>
        <w:t xml:space="preserve"> Clinical Biochemistry and Haematology </w:t>
      </w:r>
      <w:r w:rsidR="00247CCD" w:rsidRPr="00021DFC">
        <w:rPr>
          <w:i/>
          <w:iCs/>
          <w:color w:val="FFFFFF" w:themeColor="background1"/>
          <w:sz w:val="2"/>
          <w:szCs w:val="2"/>
        </w:rPr>
        <w:t xml:space="preserve">Second Edition </w:t>
      </w:r>
      <w:r w:rsidR="00247CCD" w:rsidRPr="00021DFC">
        <w:rPr>
          <w:color w:val="FFFFFF" w:themeColor="background1"/>
          <w:sz w:val="2"/>
          <w:szCs w:val="2"/>
        </w:rPr>
        <w:t xml:space="preserve">Blackwell Science: Oxford. </w:t>
      </w:r>
    </w:p>
  </w:endnote>
  <w:endnote w:id="8">
    <w:p w14:paraId="6D0C0C2A" w14:textId="77777777" w:rsidR="00513BCE" w:rsidRPr="00021DFC" w:rsidRDefault="00513BCE" w:rsidP="00513BCE">
      <w:pPr>
        <w:pStyle w:val="EndnoteText"/>
        <w:rPr>
          <w:color w:val="FFFFFF" w:themeColor="background1"/>
          <w:sz w:val="2"/>
          <w:szCs w:val="2"/>
        </w:rPr>
      </w:pPr>
      <w:r w:rsidRPr="00021DFC">
        <w:rPr>
          <w:rStyle w:val="EndnoteReference"/>
          <w:color w:val="FFFFFF" w:themeColor="background1"/>
          <w:sz w:val="2"/>
          <w:szCs w:val="2"/>
        </w:rPr>
        <w:endnoteRef/>
      </w:r>
      <w:r w:rsidRPr="00021DFC">
        <w:rPr>
          <w:color w:val="FFFFFF" w:themeColor="background1"/>
          <w:sz w:val="2"/>
          <w:szCs w:val="2"/>
        </w:rPr>
        <w:t xml:space="preserve"> Wolfenden, G.; James, F. E.; Hung, L H. T.; Bruce, M.; Thompson M. (2022) </w:t>
      </w:r>
      <w:r w:rsidRPr="00021DFC">
        <w:rPr>
          <w:i/>
          <w:iCs/>
          <w:color w:val="FFFFFF" w:themeColor="background1"/>
          <w:sz w:val="2"/>
          <w:szCs w:val="2"/>
        </w:rPr>
        <w:t xml:space="preserve">J. Small Anim. Prac. </w:t>
      </w:r>
      <w:r w:rsidRPr="00021DFC">
        <w:rPr>
          <w:b/>
          <w:bCs/>
          <w:color w:val="FFFFFF" w:themeColor="background1"/>
          <w:sz w:val="2"/>
          <w:szCs w:val="2"/>
        </w:rPr>
        <w:t xml:space="preserve">63 </w:t>
      </w:r>
      <w:r w:rsidRPr="00021DFC">
        <w:rPr>
          <w:color w:val="FFFFFF" w:themeColor="background1"/>
          <w:sz w:val="2"/>
          <w:szCs w:val="2"/>
        </w:rPr>
        <w:t>pp. 512.</w:t>
      </w:r>
    </w:p>
  </w:endnote>
  <w:endnote w:id="9">
    <w:p w14:paraId="3FBB7B06" w14:textId="22E5F5B3" w:rsidR="009A19B7" w:rsidRPr="00021DFC" w:rsidRDefault="009A19B7">
      <w:pPr>
        <w:pStyle w:val="EndnoteText"/>
        <w:rPr>
          <w:color w:val="FFFFFF" w:themeColor="background1"/>
          <w:sz w:val="2"/>
          <w:szCs w:val="2"/>
        </w:rPr>
      </w:pPr>
      <w:r w:rsidRPr="00021DFC">
        <w:rPr>
          <w:rStyle w:val="EndnoteReference"/>
          <w:color w:val="FFFFFF" w:themeColor="background1"/>
          <w:sz w:val="2"/>
          <w:szCs w:val="2"/>
        </w:rPr>
        <w:endnoteRef/>
      </w:r>
      <w:r w:rsidRPr="00021DFC">
        <w:rPr>
          <w:color w:val="FFFFFF" w:themeColor="background1"/>
          <w:sz w:val="2"/>
          <w:szCs w:val="2"/>
        </w:rPr>
        <w:t xml:space="preserve"> ISO15197:2013</w:t>
      </w:r>
      <w:r w:rsidR="003C6F21" w:rsidRPr="00021DFC">
        <w:rPr>
          <w:color w:val="FFFFFF" w:themeColor="background1"/>
          <w:sz w:val="2"/>
          <w:szCs w:val="2"/>
        </w:rPr>
        <w:t xml:space="preserve"> </w:t>
      </w:r>
      <w:r w:rsidR="003C6F21" w:rsidRPr="00021DFC">
        <w:rPr>
          <w:i/>
          <w:iCs/>
          <w:color w:val="FFFFFF" w:themeColor="background1"/>
          <w:sz w:val="2"/>
          <w:szCs w:val="2"/>
        </w:rPr>
        <w:t xml:space="preserve">In vitro </w:t>
      </w:r>
      <w:r w:rsidR="003C6F21" w:rsidRPr="00021DFC">
        <w:rPr>
          <w:color w:val="FFFFFF" w:themeColor="background1"/>
          <w:sz w:val="2"/>
          <w:szCs w:val="2"/>
        </w:rPr>
        <w:t xml:space="preserve">diagnostic test systems – Requirements for blood-glucose monitoring systems for self-testing in managing diabetes mellitus. Access date: </w:t>
      </w:r>
      <w:r w:rsidR="002843D4" w:rsidRPr="00021DFC">
        <w:rPr>
          <w:color w:val="FFFFFF" w:themeColor="background1"/>
          <w:sz w:val="2"/>
          <w:szCs w:val="2"/>
        </w:rPr>
        <w:t>20/08/2013</w:t>
      </w:r>
    </w:p>
  </w:endnote>
  <w:endnote w:id="10">
    <w:p w14:paraId="1A726F43" w14:textId="77777777" w:rsidR="00586F6F" w:rsidRPr="00021DFC" w:rsidRDefault="00586F6F" w:rsidP="00586F6F">
      <w:pPr>
        <w:pStyle w:val="EndnoteText"/>
        <w:rPr>
          <w:color w:val="FFFFFF" w:themeColor="background1"/>
          <w:sz w:val="2"/>
          <w:szCs w:val="2"/>
        </w:rPr>
      </w:pPr>
      <w:r w:rsidRPr="00021DFC">
        <w:rPr>
          <w:rStyle w:val="EndnoteReference"/>
          <w:color w:val="FFFFFF" w:themeColor="background1"/>
          <w:sz w:val="2"/>
          <w:szCs w:val="2"/>
        </w:rPr>
        <w:endnoteRef/>
      </w:r>
      <w:r w:rsidRPr="00021DFC">
        <w:rPr>
          <w:color w:val="FFFFFF" w:themeColor="background1"/>
          <w:sz w:val="2"/>
          <w:szCs w:val="2"/>
        </w:rPr>
        <w:t xml:space="preserve"> Parkes, J. J.; Prado, S.; Slatin, S. L.; Ginsberg, B. H. </w:t>
      </w:r>
      <w:r w:rsidRPr="00021DFC">
        <w:rPr>
          <w:i/>
          <w:iCs/>
          <w:color w:val="FFFFFF" w:themeColor="background1"/>
          <w:sz w:val="2"/>
          <w:szCs w:val="2"/>
        </w:rPr>
        <w:t xml:space="preserve">Diabetes Care </w:t>
      </w:r>
      <w:r w:rsidRPr="00021DFC">
        <w:rPr>
          <w:color w:val="FFFFFF" w:themeColor="background1"/>
          <w:sz w:val="2"/>
          <w:szCs w:val="2"/>
        </w:rPr>
        <w:t>23 (8) pp. 1143.</w:t>
      </w:r>
    </w:p>
  </w:endnote>
  <w:endnote w:id="11">
    <w:p w14:paraId="13568AC7" w14:textId="70E9B202" w:rsidR="00217A78" w:rsidRPr="00021DFC" w:rsidRDefault="00217A78">
      <w:pPr>
        <w:pStyle w:val="EndnoteText"/>
        <w:rPr>
          <w:i/>
          <w:iCs/>
          <w:color w:val="FFFFFF" w:themeColor="background1"/>
          <w:sz w:val="2"/>
          <w:szCs w:val="2"/>
        </w:rPr>
      </w:pPr>
      <w:r w:rsidRPr="00021DFC">
        <w:rPr>
          <w:rStyle w:val="EndnoteReference"/>
          <w:color w:val="FFFFFF" w:themeColor="background1"/>
          <w:sz w:val="2"/>
          <w:szCs w:val="2"/>
        </w:rPr>
        <w:endnoteRef/>
      </w:r>
      <w:r w:rsidRPr="00021DFC">
        <w:rPr>
          <w:color w:val="FFFFFF" w:themeColor="background1"/>
          <w:sz w:val="2"/>
          <w:szCs w:val="2"/>
        </w:rPr>
        <w:t xml:space="preserve"> Pf</w:t>
      </w:r>
      <w:r w:rsidR="002E0056" w:rsidRPr="00021DFC">
        <w:rPr>
          <w:color w:val="FFFFFF" w:themeColor="background1"/>
          <w:sz w:val="2"/>
          <w:szCs w:val="2"/>
        </w:rPr>
        <w:t>ü</w:t>
      </w:r>
      <w:r w:rsidRPr="00021DFC">
        <w:rPr>
          <w:color w:val="FFFFFF" w:themeColor="background1"/>
          <w:sz w:val="2"/>
          <w:szCs w:val="2"/>
        </w:rPr>
        <w:t>tzer</w:t>
      </w:r>
      <w:r w:rsidR="002E0056" w:rsidRPr="00021DFC">
        <w:rPr>
          <w:color w:val="FFFFFF" w:themeColor="background1"/>
          <w:sz w:val="2"/>
          <w:szCs w:val="2"/>
        </w:rPr>
        <w:t xml:space="preserve">, A. </w:t>
      </w:r>
      <w:r w:rsidR="002E0056" w:rsidRPr="00021DFC">
        <w:rPr>
          <w:i/>
          <w:iCs/>
          <w:color w:val="FFFFFF" w:themeColor="background1"/>
          <w:sz w:val="2"/>
          <w:szCs w:val="2"/>
        </w:rPr>
        <w:t>et al.</w:t>
      </w:r>
      <w:r w:rsidR="002E0056" w:rsidRPr="00021DFC">
        <w:rPr>
          <w:color w:val="FFFFFF" w:themeColor="background1"/>
          <w:sz w:val="2"/>
          <w:szCs w:val="2"/>
        </w:rPr>
        <w:t xml:space="preserve"> (2013) </w:t>
      </w:r>
      <w:r w:rsidR="002E0056" w:rsidRPr="00021DFC">
        <w:rPr>
          <w:i/>
          <w:iCs/>
          <w:color w:val="FFFFFF" w:themeColor="background1"/>
          <w:sz w:val="2"/>
          <w:szCs w:val="2"/>
        </w:rPr>
        <w:t xml:space="preserve">J. Diab. Sci. Tech. </w:t>
      </w:r>
      <w:r w:rsidR="002E0056" w:rsidRPr="00021DFC">
        <w:rPr>
          <w:color w:val="FFFFFF" w:themeColor="background1"/>
          <w:sz w:val="2"/>
          <w:szCs w:val="2"/>
        </w:rPr>
        <w:t xml:space="preserve">7(5) 1275. </w:t>
      </w:r>
      <w:r w:rsidR="002E0056" w:rsidRPr="00021DFC">
        <w:rPr>
          <w:i/>
          <w:iCs/>
          <w:color w:val="FFFFFF" w:themeColor="background1"/>
          <w:sz w:val="2"/>
          <w:szCs w:val="2"/>
        </w:rPr>
        <w:t xml:space="preserve"> </w:t>
      </w:r>
    </w:p>
  </w:endnote>
  <w:endnote w:id="12">
    <w:p w14:paraId="0FA7E23A" w14:textId="7FDD957E" w:rsidR="00ED0ECA" w:rsidRPr="00021DFC" w:rsidRDefault="00ED0ECA">
      <w:pPr>
        <w:pStyle w:val="EndnoteText"/>
        <w:rPr>
          <w:color w:val="FFFFFF" w:themeColor="background1"/>
          <w:sz w:val="2"/>
          <w:szCs w:val="2"/>
        </w:rPr>
      </w:pPr>
      <w:r w:rsidRPr="00021DFC">
        <w:rPr>
          <w:rStyle w:val="EndnoteReference"/>
          <w:color w:val="FFFFFF" w:themeColor="background1"/>
          <w:sz w:val="2"/>
          <w:szCs w:val="2"/>
        </w:rPr>
        <w:endnoteRef/>
      </w:r>
      <w:r w:rsidRPr="00021DFC">
        <w:rPr>
          <w:color w:val="FFFFFF" w:themeColor="background1"/>
          <w:sz w:val="2"/>
          <w:szCs w:val="2"/>
        </w:rPr>
        <w:t xml:space="preserve"> Clarke, W. K. </w:t>
      </w:r>
      <w:r w:rsidRPr="00021DFC">
        <w:rPr>
          <w:i/>
          <w:iCs/>
          <w:color w:val="FFFFFF" w:themeColor="background1"/>
          <w:sz w:val="2"/>
          <w:szCs w:val="2"/>
        </w:rPr>
        <w:t xml:space="preserve">et al. </w:t>
      </w:r>
      <w:r w:rsidRPr="00021DFC">
        <w:rPr>
          <w:color w:val="FFFFFF" w:themeColor="background1"/>
          <w:sz w:val="2"/>
          <w:szCs w:val="2"/>
        </w:rPr>
        <w:t>(</w:t>
      </w:r>
      <w:r w:rsidR="00CC1BDF" w:rsidRPr="00021DFC">
        <w:rPr>
          <w:color w:val="FFFFFF" w:themeColor="background1"/>
          <w:sz w:val="2"/>
          <w:szCs w:val="2"/>
        </w:rPr>
        <w:t xml:space="preserve">1987) </w:t>
      </w:r>
      <w:r w:rsidR="00CC1BDF" w:rsidRPr="00021DFC">
        <w:rPr>
          <w:i/>
          <w:iCs/>
          <w:color w:val="FFFFFF" w:themeColor="background1"/>
          <w:sz w:val="2"/>
          <w:szCs w:val="2"/>
        </w:rPr>
        <w:t xml:space="preserve">Diab. Care </w:t>
      </w:r>
      <w:r w:rsidR="00CC1BDF" w:rsidRPr="00021DFC">
        <w:rPr>
          <w:color w:val="FFFFFF" w:themeColor="background1"/>
          <w:sz w:val="2"/>
          <w:szCs w:val="2"/>
        </w:rPr>
        <w:t>10(5) 622.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744"/>
      <w:gridCol w:w="3462"/>
    </w:tblGrid>
    <w:tr w:rsidR="003C37D2" w14:paraId="58D116DF" w14:textId="77777777" w:rsidTr="00EA6AD8">
      <w:trPr>
        <w:jc w:val="center"/>
      </w:trPr>
      <w:tc>
        <w:tcPr>
          <w:tcW w:w="1020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43B7A56" w14:textId="77777777" w:rsidR="003C37D2" w:rsidRPr="00517C18" w:rsidRDefault="003C37D2" w:rsidP="00EA6AD8">
          <w:pPr>
            <w:pStyle w:val="Footer"/>
            <w:tabs>
              <w:tab w:val="left" w:pos="720"/>
            </w:tabs>
            <w:spacing w:before="20" w:after="20"/>
            <w:jc w:val="center"/>
            <w:rPr>
              <w:rFonts w:ascii="Arial" w:hAnsi="Arial"/>
              <w:i/>
              <w:sz w:val="12"/>
              <w:szCs w:val="12"/>
              <w:lang w:val="en-US"/>
            </w:rPr>
          </w:pPr>
          <w:r w:rsidRPr="00517C18">
            <w:rPr>
              <w:rFonts w:ascii="Arial" w:hAnsi="Arial" w:cs="Arial"/>
              <w:sz w:val="12"/>
              <w:szCs w:val="12"/>
            </w:rPr>
            <w:t xml:space="preserve">Commercial-in-Confidence       Property of Universal Biosensors Pty Ltd       </w:t>
          </w:r>
          <w:smartTag w:uri="urn:schemas-microsoft-com:office:smarttags" w:element="stockticker">
            <w:r w:rsidRPr="00517C18">
              <w:rPr>
                <w:rFonts w:ascii="Arial" w:hAnsi="Arial" w:cs="Arial"/>
                <w:sz w:val="12"/>
                <w:szCs w:val="12"/>
              </w:rPr>
              <w:t>ABN</w:t>
            </w:r>
          </w:smartTag>
          <w:r w:rsidRPr="00517C18">
            <w:rPr>
              <w:rFonts w:ascii="Arial" w:hAnsi="Arial" w:cs="Arial"/>
              <w:sz w:val="12"/>
              <w:szCs w:val="12"/>
            </w:rPr>
            <w:t xml:space="preserve"> 35 098 234 309</w:t>
          </w:r>
        </w:p>
      </w:tc>
    </w:tr>
    <w:tr w:rsidR="003C37D2" w14:paraId="275A841A" w14:textId="77777777" w:rsidTr="00EA6AD8">
      <w:trPr>
        <w:jc w:val="center"/>
      </w:trPr>
      <w:tc>
        <w:tcPr>
          <w:tcW w:w="67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8675CD9" w14:textId="2A21166E" w:rsidR="003C37D2" w:rsidRPr="00517C18" w:rsidRDefault="003C37D2" w:rsidP="00EA6AD8">
          <w:pPr>
            <w:pStyle w:val="Footer"/>
            <w:tabs>
              <w:tab w:val="left" w:pos="1785"/>
              <w:tab w:val="right" w:pos="9356"/>
            </w:tabs>
            <w:spacing w:before="20" w:after="20"/>
            <w:rPr>
              <w:rFonts w:ascii="Arial" w:hAnsi="Arial"/>
              <w:szCs w:val="16"/>
              <w:lang w:val="en-US"/>
            </w:rPr>
          </w:pPr>
          <w:r w:rsidRPr="00517C18">
            <w:rPr>
              <w:rFonts w:ascii="Arial" w:hAnsi="Arial"/>
              <w:szCs w:val="16"/>
            </w:rPr>
            <w:t xml:space="preserve">Print Status: </w:t>
          </w:r>
          <w:r w:rsidRPr="00517C18">
            <w:rPr>
              <w:rFonts w:ascii="Arial" w:hAnsi="Arial"/>
              <w:szCs w:val="16"/>
            </w:rPr>
            <w:fldChar w:fldCharType="begin"/>
          </w:r>
          <w:r w:rsidRPr="00517C18">
            <w:rPr>
              <w:rFonts w:ascii="Arial" w:hAnsi="Arial"/>
              <w:szCs w:val="16"/>
            </w:rPr>
            <w:instrText xml:space="preserve"> DOCPROPERTY PD3_-1_11_0  \* MERGEFORMAT </w:instrText>
          </w:r>
          <w:r w:rsidRPr="00517C18">
            <w:rPr>
              <w:rFonts w:ascii="Arial" w:hAnsi="Arial"/>
              <w:szCs w:val="16"/>
            </w:rPr>
            <w:fldChar w:fldCharType="separate"/>
          </w:r>
          <w:r w:rsidR="00772E37">
            <w:rPr>
              <w:rFonts w:ascii="Arial" w:hAnsi="Arial"/>
              <w:szCs w:val="16"/>
            </w:rPr>
            <w:t>Uncontrolled When Printed</w:t>
          </w:r>
          <w:r w:rsidRPr="00517C18">
            <w:rPr>
              <w:rFonts w:ascii="Arial" w:hAnsi="Arial"/>
              <w:szCs w:val="16"/>
            </w:rPr>
            <w:fldChar w:fldCharType="end"/>
          </w:r>
          <w:r w:rsidRPr="00517C18">
            <w:rPr>
              <w:rFonts w:ascii="Arial" w:hAnsi="Arial"/>
              <w:szCs w:val="16"/>
            </w:rPr>
            <w:tab/>
          </w:r>
        </w:p>
      </w:tc>
      <w:tc>
        <w:tcPr>
          <w:tcW w:w="34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061E9FD" w14:textId="373FD876" w:rsidR="003C37D2" w:rsidRPr="00517C18" w:rsidRDefault="003C37D2" w:rsidP="00EA6AD8">
          <w:pPr>
            <w:pStyle w:val="Footer"/>
            <w:tabs>
              <w:tab w:val="right" w:pos="9356"/>
            </w:tabs>
            <w:spacing w:before="20" w:after="20"/>
            <w:rPr>
              <w:rFonts w:ascii="Arial" w:hAnsi="Arial"/>
              <w:szCs w:val="16"/>
              <w:lang w:val="en-US"/>
            </w:rPr>
          </w:pPr>
          <w:r w:rsidRPr="00517C18">
            <w:rPr>
              <w:rFonts w:ascii="Arial" w:hAnsi="Arial"/>
              <w:szCs w:val="16"/>
            </w:rPr>
            <w:t xml:space="preserve">Print # : </w:t>
          </w:r>
          <w:r w:rsidRPr="00517C18">
            <w:rPr>
              <w:rFonts w:ascii="Arial" w:hAnsi="Arial"/>
              <w:szCs w:val="16"/>
            </w:rPr>
            <w:fldChar w:fldCharType="begin"/>
          </w:r>
          <w:r w:rsidRPr="00517C18">
            <w:rPr>
              <w:rFonts w:ascii="Arial" w:hAnsi="Arial"/>
              <w:szCs w:val="16"/>
            </w:rPr>
            <w:instrText xml:space="preserve"> DOCPROPERTY PD3_-1_12_0  \* MERGEFORMAT </w:instrText>
          </w:r>
          <w:r w:rsidRPr="00517C18">
            <w:rPr>
              <w:rFonts w:ascii="Arial" w:hAnsi="Arial"/>
              <w:szCs w:val="16"/>
            </w:rPr>
            <w:fldChar w:fldCharType="end"/>
          </w:r>
        </w:p>
      </w:tc>
    </w:tr>
  </w:tbl>
  <w:p w14:paraId="568A9038" w14:textId="77777777" w:rsidR="003C37D2" w:rsidRDefault="003C37D2" w:rsidP="003C37D2">
    <w:pPr>
      <w:pStyle w:val="Footer"/>
      <w:tabs>
        <w:tab w:val="right" w:pos="9356"/>
      </w:tabs>
      <w:rPr>
        <w:rFonts w:ascii="Helvetica" w:hAnsi="Helvetica"/>
        <w:sz w:val="8"/>
        <w:szCs w:val="8"/>
        <w:lang w:val="en-US"/>
      </w:rPr>
    </w:pPr>
  </w:p>
  <w:p w14:paraId="1CCB85B8" w14:textId="77777777" w:rsidR="00A41C27" w:rsidRPr="003C37D2" w:rsidRDefault="00A41C27" w:rsidP="003C3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2522" w14:textId="77777777" w:rsidR="003C37D2" w:rsidRDefault="003C37D2" w:rsidP="003C37D2">
    <w:pPr>
      <w:pStyle w:val="Footer"/>
      <w:tabs>
        <w:tab w:val="right" w:pos="9356"/>
      </w:tabs>
      <w:rPr>
        <w:rFonts w:ascii="Helvetica" w:hAnsi="Helvetica"/>
        <w:sz w:val="8"/>
        <w:szCs w:val="8"/>
        <w:lang w:val="en-US"/>
      </w:rPr>
    </w:pPr>
  </w:p>
  <w:p w14:paraId="5D49539B" w14:textId="77777777" w:rsidR="00A41C27" w:rsidRPr="003C37D2" w:rsidRDefault="00A41C27" w:rsidP="003C37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744"/>
      <w:gridCol w:w="3462"/>
    </w:tblGrid>
    <w:tr w:rsidR="003C37D2" w14:paraId="39DD1E36" w14:textId="77777777" w:rsidTr="00EA6AD8">
      <w:trPr>
        <w:jc w:val="center"/>
      </w:trPr>
      <w:tc>
        <w:tcPr>
          <w:tcW w:w="1020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60E9E56" w14:textId="77777777" w:rsidR="003C37D2" w:rsidRPr="00517C18" w:rsidRDefault="003C37D2" w:rsidP="00EA6AD8">
          <w:pPr>
            <w:pStyle w:val="Footer"/>
            <w:tabs>
              <w:tab w:val="left" w:pos="720"/>
            </w:tabs>
            <w:spacing w:before="20" w:after="20"/>
            <w:jc w:val="center"/>
            <w:rPr>
              <w:rFonts w:ascii="Arial" w:hAnsi="Arial"/>
              <w:i/>
              <w:sz w:val="12"/>
              <w:szCs w:val="12"/>
              <w:lang w:val="en-US"/>
            </w:rPr>
          </w:pPr>
          <w:r w:rsidRPr="00517C18">
            <w:rPr>
              <w:rFonts w:ascii="Arial" w:hAnsi="Arial" w:cs="Arial"/>
              <w:sz w:val="12"/>
              <w:szCs w:val="12"/>
            </w:rPr>
            <w:t xml:space="preserve">Commercial-in-Confidence       Property of Universal Biosensors Pty Ltd       </w:t>
          </w:r>
          <w:smartTag w:uri="urn:schemas-microsoft-com:office:smarttags" w:element="stockticker">
            <w:r w:rsidRPr="00517C18">
              <w:rPr>
                <w:rFonts w:ascii="Arial" w:hAnsi="Arial" w:cs="Arial"/>
                <w:sz w:val="12"/>
                <w:szCs w:val="12"/>
              </w:rPr>
              <w:t>ABN</w:t>
            </w:r>
          </w:smartTag>
          <w:r w:rsidRPr="00517C18">
            <w:rPr>
              <w:rFonts w:ascii="Arial" w:hAnsi="Arial" w:cs="Arial"/>
              <w:sz w:val="12"/>
              <w:szCs w:val="12"/>
            </w:rPr>
            <w:t xml:space="preserve"> 35 098 234 309</w:t>
          </w:r>
        </w:p>
      </w:tc>
    </w:tr>
    <w:tr w:rsidR="003C37D2" w14:paraId="4AD5F5D5" w14:textId="77777777" w:rsidTr="00EA6AD8">
      <w:trPr>
        <w:jc w:val="center"/>
      </w:trPr>
      <w:tc>
        <w:tcPr>
          <w:tcW w:w="67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2DCD6B4" w14:textId="5EAEE093" w:rsidR="003C37D2" w:rsidRPr="00517C18" w:rsidRDefault="003C37D2" w:rsidP="00EA6AD8">
          <w:pPr>
            <w:pStyle w:val="Footer"/>
            <w:tabs>
              <w:tab w:val="left" w:pos="1785"/>
              <w:tab w:val="right" w:pos="9356"/>
            </w:tabs>
            <w:spacing w:before="20" w:after="20"/>
            <w:rPr>
              <w:rFonts w:ascii="Arial" w:hAnsi="Arial"/>
              <w:szCs w:val="16"/>
              <w:lang w:val="en-US"/>
            </w:rPr>
          </w:pPr>
          <w:r w:rsidRPr="00517C18">
            <w:rPr>
              <w:rFonts w:ascii="Arial" w:hAnsi="Arial"/>
              <w:szCs w:val="16"/>
            </w:rPr>
            <w:t xml:space="preserve">Print Status: </w:t>
          </w:r>
          <w:r w:rsidRPr="00517C18">
            <w:rPr>
              <w:rFonts w:ascii="Arial" w:hAnsi="Arial"/>
              <w:szCs w:val="16"/>
            </w:rPr>
            <w:fldChar w:fldCharType="begin"/>
          </w:r>
          <w:r w:rsidRPr="00517C18">
            <w:rPr>
              <w:rFonts w:ascii="Arial" w:hAnsi="Arial"/>
              <w:szCs w:val="16"/>
            </w:rPr>
            <w:instrText xml:space="preserve"> DOCPROPERTY PD3_-1_11_0  \* MERGEFORMAT </w:instrText>
          </w:r>
          <w:r w:rsidRPr="00517C18">
            <w:rPr>
              <w:rFonts w:ascii="Arial" w:hAnsi="Arial"/>
              <w:szCs w:val="16"/>
            </w:rPr>
            <w:fldChar w:fldCharType="separate"/>
          </w:r>
          <w:r w:rsidR="00772E37">
            <w:rPr>
              <w:rFonts w:ascii="Arial" w:hAnsi="Arial"/>
              <w:szCs w:val="16"/>
            </w:rPr>
            <w:t>Uncontrolled When Printed</w:t>
          </w:r>
          <w:r w:rsidRPr="00517C18">
            <w:rPr>
              <w:rFonts w:ascii="Arial" w:hAnsi="Arial"/>
              <w:szCs w:val="16"/>
            </w:rPr>
            <w:fldChar w:fldCharType="end"/>
          </w:r>
          <w:r w:rsidRPr="00517C18">
            <w:rPr>
              <w:rFonts w:ascii="Arial" w:hAnsi="Arial"/>
              <w:szCs w:val="16"/>
            </w:rPr>
            <w:tab/>
          </w:r>
        </w:p>
      </w:tc>
      <w:tc>
        <w:tcPr>
          <w:tcW w:w="34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D25B679" w14:textId="3AC98BAC" w:rsidR="003C37D2" w:rsidRPr="00517C18" w:rsidRDefault="003C37D2" w:rsidP="00EA6AD8">
          <w:pPr>
            <w:pStyle w:val="Footer"/>
            <w:tabs>
              <w:tab w:val="right" w:pos="9356"/>
            </w:tabs>
            <w:spacing w:before="20" w:after="20"/>
            <w:rPr>
              <w:rFonts w:ascii="Arial" w:hAnsi="Arial"/>
              <w:szCs w:val="16"/>
              <w:lang w:val="en-US"/>
            </w:rPr>
          </w:pPr>
          <w:r w:rsidRPr="00517C18">
            <w:rPr>
              <w:rFonts w:ascii="Arial" w:hAnsi="Arial"/>
              <w:szCs w:val="16"/>
            </w:rPr>
            <w:t xml:space="preserve">Print # : </w:t>
          </w:r>
          <w:r w:rsidRPr="00517C18">
            <w:rPr>
              <w:rFonts w:ascii="Arial" w:hAnsi="Arial"/>
              <w:szCs w:val="16"/>
            </w:rPr>
            <w:fldChar w:fldCharType="begin"/>
          </w:r>
          <w:r w:rsidRPr="00517C18">
            <w:rPr>
              <w:rFonts w:ascii="Arial" w:hAnsi="Arial"/>
              <w:szCs w:val="16"/>
            </w:rPr>
            <w:instrText xml:space="preserve"> DOCPROPERTY PD3_-1_12_0  \* MERGEFORMAT </w:instrText>
          </w:r>
          <w:r w:rsidRPr="00517C18">
            <w:rPr>
              <w:rFonts w:ascii="Arial" w:hAnsi="Arial"/>
              <w:szCs w:val="16"/>
            </w:rPr>
            <w:fldChar w:fldCharType="end"/>
          </w:r>
        </w:p>
      </w:tc>
    </w:tr>
  </w:tbl>
  <w:p w14:paraId="0D44B6DC" w14:textId="77777777" w:rsidR="003C37D2" w:rsidRDefault="003C37D2" w:rsidP="003C37D2">
    <w:pPr>
      <w:pStyle w:val="Footer"/>
      <w:tabs>
        <w:tab w:val="right" w:pos="9356"/>
      </w:tabs>
      <w:rPr>
        <w:rFonts w:ascii="Helvetica" w:hAnsi="Helvetica"/>
        <w:sz w:val="8"/>
        <w:szCs w:val="8"/>
        <w:lang w:val="en-US"/>
      </w:rPr>
    </w:pPr>
  </w:p>
  <w:p w14:paraId="2027DE88" w14:textId="77777777" w:rsidR="00A41C27" w:rsidRPr="003C37D2" w:rsidRDefault="00A41C27" w:rsidP="003C3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512B1" w14:textId="77777777" w:rsidR="0088595F" w:rsidRDefault="0088595F">
      <w:r>
        <w:separator/>
      </w:r>
    </w:p>
  </w:footnote>
  <w:footnote w:type="continuationSeparator" w:id="0">
    <w:p w14:paraId="7E3770BA" w14:textId="77777777" w:rsidR="0088595F" w:rsidRDefault="0088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61"/>
      <w:gridCol w:w="5805"/>
      <w:gridCol w:w="1267"/>
      <w:gridCol w:w="1573"/>
    </w:tblGrid>
    <w:tr w:rsidR="003C37D2" w14:paraId="3737CAAC" w14:textId="77777777" w:rsidTr="00EA6AD8">
      <w:trPr>
        <w:trHeight w:val="794"/>
        <w:jc w:val="center"/>
      </w:trPr>
      <w:tc>
        <w:tcPr>
          <w:tcW w:w="1561" w:type="dxa"/>
          <w:vMerge w:val="restart"/>
          <w:shd w:val="clear" w:color="auto" w:fill="auto"/>
          <w:vAlign w:val="center"/>
        </w:tcPr>
        <w:p w14:paraId="214C1E79" w14:textId="189ECBD4" w:rsidR="003C37D2" w:rsidRDefault="00A40D49" w:rsidP="00EA6AD8">
          <w:pPr>
            <w:pStyle w:val="UBHeader"/>
            <w:spacing w:before="60" w:after="60"/>
            <w:ind w:left="171"/>
          </w:pPr>
          <w:r>
            <w:rPr>
              <w:noProof/>
            </w:rPr>
            <w:drawing>
              <wp:inline distT="0" distB="0" distL="0" distR="0" wp14:anchorId="64120420" wp14:editId="62C0C6FD">
                <wp:extent cx="599440" cy="819150"/>
                <wp:effectExtent l="0" t="0" r="0" b="0"/>
                <wp:docPr id="1720400004" name="Picture 17204000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5" w:type="dxa"/>
          <w:shd w:val="clear" w:color="auto" w:fill="auto"/>
          <w:vAlign w:val="center"/>
        </w:tcPr>
        <w:p w14:paraId="0039C9D3" w14:textId="440F83D2" w:rsidR="003C37D2" w:rsidRPr="00517C18" w:rsidRDefault="003C37D2" w:rsidP="00EA6AD8">
          <w:pPr>
            <w:pStyle w:val="UBHeader"/>
            <w:tabs>
              <w:tab w:val="left" w:pos="2055"/>
              <w:tab w:val="left" w:pos="2222"/>
            </w:tabs>
            <w:spacing w:before="60" w:after="60"/>
            <w:rPr>
              <w:b/>
            </w:rPr>
          </w:pPr>
          <w:r w:rsidRPr="00517C18">
            <w:rPr>
              <w:b/>
            </w:rPr>
            <w:t>Responsible Person:</w:t>
          </w:r>
          <w:r w:rsidRPr="00517C18" w:rsidDel="00A22D64"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PD3_5_3_1  \* MERGEFORMAT </w:instrText>
          </w:r>
          <w:r>
            <w:rPr>
              <w:b/>
            </w:rPr>
            <w:fldChar w:fldCharType="end"/>
          </w:r>
        </w:p>
        <w:p w14:paraId="44004A2A" w14:textId="2FA10423" w:rsidR="003C37D2" w:rsidRPr="00417C32" w:rsidRDefault="003C37D2" w:rsidP="00EA6AD8">
          <w:pPr>
            <w:pStyle w:val="UBHeader"/>
            <w:tabs>
              <w:tab w:val="left" w:pos="2055"/>
              <w:tab w:val="left" w:pos="2222"/>
            </w:tabs>
            <w:spacing w:before="60" w:after="60"/>
          </w:pPr>
          <w:r w:rsidRPr="00517C18">
            <w:rPr>
              <w:b/>
            </w:rPr>
            <w:t>Authorized By:</w:t>
          </w:r>
          <w:r>
            <w:rPr>
              <w:b/>
            </w:rPr>
            <w:t xml:space="preserve"> </w:t>
          </w:r>
          <w:r w:rsidRPr="00517C18">
            <w:rPr>
              <w:b/>
            </w:rPr>
            <w:fldChar w:fldCharType="begin"/>
          </w:r>
          <w:r w:rsidRPr="00517C18">
            <w:rPr>
              <w:b/>
            </w:rPr>
            <w:instrText xml:space="preserve"> DOCPROPERTY PD3_-1_15_0  \* MERGEFORMAT </w:instrText>
          </w:r>
          <w:r w:rsidRPr="00517C18">
            <w:rPr>
              <w:b/>
            </w:rPr>
            <w:fldChar w:fldCharType="separate"/>
          </w:r>
          <w:r w:rsidR="00772E37">
            <w:rPr>
              <w:b/>
            </w:rPr>
            <w:t>Vanessa Bacon</w:t>
          </w:r>
          <w:r w:rsidRPr="00517C18">
            <w:rPr>
              <w:b/>
            </w:rPr>
            <w:fldChar w:fldCharType="end"/>
          </w:r>
        </w:p>
      </w:tc>
      <w:tc>
        <w:tcPr>
          <w:tcW w:w="1267" w:type="dxa"/>
          <w:shd w:val="clear" w:color="auto" w:fill="auto"/>
          <w:vAlign w:val="center"/>
        </w:tcPr>
        <w:p w14:paraId="5A2A1509" w14:textId="77777777" w:rsidR="003C37D2" w:rsidRDefault="003C37D2" w:rsidP="00EA6AD8">
          <w:pPr>
            <w:pStyle w:val="UBHeader"/>
            <w:spacing w:before="60" w:after="60"/>
          </w:pPr>
          <w:r>
            <w:t>Issued:</w:t>
          </w:r>
        </w:p>
        <w:p w14:paraId="1B75D217" w14:textId="5D358857" w:rsidR="003C37D2" w:rsidRDefault="00825DDA" w:rsidP="00EA6AD8">
          <w:pPr>
            <w:pStyle w:val="UBHeader"/>
            <w:spacing w:before="60" w:after="60"/>
          </w:pPr>
          <w:fldSimple w:instr=" DOCPROPERTY PD3_-1_21_0  \* MERGEFORMAT ">
            <w:r w:rsidR="00772E37">
              <w:t>13/05/2019</w:t>
            </w:r>
          </w:fldSimple>
        </w:p>
      </w:tc>
      <w:tc>
        <w:tcPr>
          <w:tcW w:w="1573" w:type="dxa"/>
          <w:shd w:val="clear" w:color="auto" w:fill="auto"/>
          <w:vAlign w:val="center"/>
        </w:tcPr>
        <w:p w14:paraId="12096B57" w14:textId="77777777" w:rsidR="003C37D2" w:rsidRDefault="003C37D2" w:rsidP="00EA6AD8">
          <w:pPr>
            <w:pStyle w:val="UBHeader"/>
            <w:spacing w:before="60" w:after="60"/>
            <w:ind w:left="-57"/>
          </w:pPr>
          <w:r>
            <w:t>Version:</w:t>
          </w:r>
        </w:p>
        <w:p w14:paraId="0E6797D0" w14:textId="4DD9206C" w:rsidR="003C37D2" w:rsidRDefault="00825DDA" w:rsidP="00EA6AD8">
          <w:pPr>
            <w:pStyle w:val="UBHeader"/>
            <w:spacing w:before="60" w:after="60"/>
            <w:ind w:left="-57"/>
          </w:pPr>
          <w:fldSimple w:instr=" DOCPROPERTY PD3_-1_6_0  \* MERGEFORMAT ">
            <w:r w:rsidR="00772E37">
              <w:t>1.2.1</w:t>
            </w:r>
          </w:fldSimple>
          <w:r w:rsidR="003C37D2">
            <w:t xml:space="preserve"> </w:t>
          </w:r>
          <w:fldSimple w:instr=" DOCPROPERTY PD3_-1_7_0  \* MERGEFORMAT ">
            <w:r w:rsidR="00772E37">
              <w:t>Current</w:t>
            </w:r>
          </w:fldSimple>
        </w:p>
      </w:tc>
    </w:tr>
    <w:tr w:rsidR="003C37D2" w14:paraId="166ADABA" w14:textId="77777777" w:rsidTr="00EA6AD8">
      <w:trPr>
        <w:trHeight w:val="567"/>
        <w:jc w:val="center"/>
      </w:trPr>
      <w:tc>
        <w:tcPr>
          <w:tcW w:w="1561" w:type="dxa"/>
          <w:vMerge/>
          <w:shd w:val="clear" w:color="auto" w:fill="auto"/>
          <w:vAlign w:val="center"/>
        </w:tcPr>
        <w:p w14:paraId="72670697" w14:textId="77777777" w:rsidR="003C37D2" w:rsidRDefault="003C37D2" w:rsidP="00EA6AD8">
          <w:pPr>
            <w:pStyle w:val="UBHeader"/>
            <w:spacing w:before="60" w:after="60"/>
          </w:pPr>
        </w:p>
      </w:tc>
      <w:tc>
        <w:tcPr>
          <w:tcW w:w="7072" w:type="dxa"/>
          <w:gridSpan w:val="2"/>
          <w:shd w:val="clear" w:color="auto" w:fill="auto"/>
          <w:vAlign w:val="center"/>
        </w:tcPr>
        <w:p w14:paraId="7574D473" w14:textId="0F76964D" w:rsidR="003C37D2" w:rsidRPr="00517C18" w:rsidRDefault="003C37D2" w:rsidP="00EA6AD8">
          <w:pPr>
            <w:pStyle w:val="UBHeader"/>
            <w:spacing w:before="60" w:after="60"/>
            <w:rPr>
              <w:b/>
            </w:rPr>
          </w:pPr>
          <w:r w:rsidRPr="00517C18">
            <w:rPr>
              <w:b/>
            </w:rPr>
            <w:fldChar w:fldCharType="begin"/>
          </w:r>
          <w:r w:rsidRPr="00517C18">
            <w:rPr>
              <w:b/>
            </w:rPr>
            <w:instrText xml:space="preserve"> DOCPROPERTY PD3_-1_1_0  \* MERGEFORMAT </w:instrText>
          </w:r>
          <w:r w:rsidRPr="00517C18">
            <w:rPr>
              <w:b/>
            </w:rPr>
            <w:fldChar w:fldCharType="separate"/>
          </w:r>
          <w:r w:rsidR="00772E37">
            <w:rPr>
              <w:b/>
            </w:rPr>
            <w:t>QS FM 205 Design Verification Report Template</w:t>
          </w:r>
          <w:r w:rsidRPr="00517C18">
            <w:rPr>
              <w:b/>
            </w:rPr>
            <w:fldChar w:fldCharType="end"/>
          </w:r>
        </w:p>
      </w:tc>
      <w:tc>
        <w:tcPr>
          <w:tcW w:w="1573" w:type="dxa"/>
          <w:shd w:val="clear" w:color="auto" w:fill="auto"/>
          <w:vAlign w:val="center"/>
        </w:tcPr>
        <w:p w14:paraId="1E073AE3" w14:textId="77777777" w:rsidR="003C37D2" w:rsidRDefault="003C37D2" w:rsidP="00EA6AD8">
          <w:pPr>
            <w:pStyle w:val="UBHeader"/>
            <w:spacing w:before="60" w:after="60"/>
            <w:ind w:left="-57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96895">
            <w:rPr>
              <w:noProof/>
            </w:rPr>
            <w:t>6</w:t>
          </w:r>
          <w:r>
            <w:fldChar w:fldCharType="end"/>
          </w:r>
          <w:r>
            <w:t xml:space="preserve"> of </w:t>
          </w:r>
          <w:fldSimple w:instr=" NUMPAGES   \* MERGEFORMAT ">
            <w:r w:rsidR="00996895">
              <w:rPr>
                <w:noProof/>
              </w:rPr>
              <w:t>6</w:t>
            </w:r>
          </w:fldSimple>
        </w:p>
      </w:tc>
    </w:tr>
  </w:tbl>
  <w:p w14:paraId="1C55D742" w14:textId="77777777" w:rsidR="003C37D2" w:rsidRPr="003963EE" w:rsidRDefault="003C37D2" w:rsidP="003C37D2">
    <w:pPr>
      <w:pStyle w:val="UBHeader"/>
      <w:rPr>
        <w:sz w:val="22"/>
        <w:szCs w:val="2"/>
      </w:rPr>
    </w:pPr>
  </w:p>
  <w:p w14:paraId="242FAF9B" w14:textId="77777777" w:rsidR="00A41C27" w:rsidRPr="003C37D2" w:rsidRDefault="00A41C27" w:rsidP="003C3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961C" w14:textId="77777777" w:rsidR="003C37D2" w:rsidRPr="003963EE" w:rsidRDefault="003C37D2" w:rsidP="003C37D2">
    <w:pPr>
      <w:pStyle w:val="UBHeader"/>
      <w:rPr>
        <w:sz w:val="22"/>
        <w:szCs w:val="2"/>
      </w:rPr>
    </w:pPr>
  </w:p>
  <w:p w14:paraId="56CE7029" w14:textId="77777777" w:rsidR="002520C7" w:rsidRPr="003C37D2" w:rsidRDefault="002520C7" w:rsidP="003C37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61"/>
      <w:gridCol w:w="5805"/>
      <w:gridCol w:w="1267"/>
      <w:gridCol w:w="1573"/>
    </w:tblGrid>
    <w:tr w:rsidR="003C37D2" w14:paraId="3C1DB8B7" w14:textId="77777777" w:rsidTr="00EA6AD8">
      <w:trPr>
        <w:trHeight w:val="794"/>
        <w:jc w:val="center"/>
      </w:trPr>
      <w:tc>
        <w:tcPr>
          <w:tcW w:w="1561" w:type="dxa"/>
          <w:vMerge w:val="restart"/>
          <w:shd w:val="clear" w:color="auto" w:fill="auto"/>
          <w:vAlign w:val="center"/>
        </w:tcPr>
        <w:p w14:paraId="20079217" w14:textId="233E6430" w:rsidR="003C37D2" w:rsidRDefault="00A40D49" w:rsidP="00EA6AD8">
          <w:pPr>
            <w:pStyle w:val="UBHeader"/>
            <w:spacing w:before="60" w:after="60"/>
            <w:ind w:left="171"/>
          </w:pPr>
          <w:r>
            <w:rPr>
              <w:noProof/>
            </w:rPr>
            <w:drawing>
              <wp:inline distT="0" distB="0" distL="0" distR="0" wp14:anchorId="22351EA3" wp14:editId="71C810EE">
                <wp:extent cx="599440" cy="819150"/>
                <wp:effectExtent l="0" t="0" r="0" b="0"/>
                <wp:docPr id="471266229" name="Picture 471266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5" w:type="dxa"/>
          <w:shd w:val="clear" w:color="auto" w:fill="auto"/>
          <w:vAlign w:val="center"/>
        </w:tcPr>
        <w:p w14:paraId="5D7C4961" w14:textId="26FCC8F7" w:rsidR="003C37D2" w:rsidRPr="00517C18" w:rsidRDefault="003C37D2" w:rsidP="00EA6AD8">
          <w:pPr>
            <w:pStyle w:val="UBHeader"/>
            <w:tabs>
              <w:tab w:val="left" w:pos="2055"/>
              <w:tab w:val="left" w:pos="2222"/>
            </w:tabs>
            <w:spacing w:before="60" w:after="60"/>
            <w:rPr>
              <w:b/>
            </w:rPr>
          </w:pPr>
          <w:r w:rsidRPr="00517C18">
            <w:rPr>
              <w:b/>
            </w:rPr>
            <w:t>Responsible Person:</w:t>
          </w:r>
          <w:r w:rsidRPr="00517C18" w:rsidDel="00A22D64"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PD3_5_3_1  \* MERGEFORMAT </w:instrText>
          </w:r>
          <w:r>
            <w:rPr>
              <w:b/>
            </w:rPr>
            <w:fldChar w:fldCharType="end"/>
          </w:r>
        </w:p>
        <w:p w14:paraId="041803F4" w14:textId="5488A23B" w:rsidR="003C37D2" w:rsidRPr="00417C32" w:rsidRDefault="003C37D2" w:rsidP="00EA6AD8">
          <w:pPr>
            <w:pStyle w:val="UBHeader"/>
            <w:tabs>
              <w:tab w:val="left" w:pos="2055"/>
              <w:tab w:val="left" w:pos="2222"/>
            </w:tabs>
            <w:spacing w:before="60" w:after="60"/>
          </w:pPr>
          <w:r w:rsidRPr="00517C18">
            <w:rPr>
              <w:b/>
            </w:rPr>
            <w:t>Authorized By:</w:t>
          </w:r>
          <w:r>
            <w:rPr>
              <w:b/>
            </w:rPr>
            <w:t xml:space="preserve"> </w:t>
          </w:r>
          <w:r w:rsidRPr="00517C18">
            <w:rPr>
              <w:b/>
            </w:rPr>
            <w:fldChar w:fldCharType="begin"/>
          </w:r>
          <w:r w:rsidRPr="00517C18">
            <w:rPr>
              <w:b/>
            </w:rPr>
            <w:instrText xml:space="preserve"> DOCPROPERTY PD3_-1_15_0  \* MERGEFORMAT </w:instrText>
          </w:r>
          <w:r w:rsidRPr="00517C18">
            <w:rPr>
              <w:b/>
            </w:rPr>
            <w:fldChar w:fldCharType="separate"/>
          </w:r>
          <w:r w:rsidR="00772E37">
            <w:rPr>
              <w:b/>
            </w:rPr>
            <w:t>Vanessa Bacon</w:t>
          </w:r>
          <w:r w:rsidRPr="00517C18">
            <w:rPr>
              <w:b/>
            </w:rPr>
            <w:fldChar w:fldCharType="end"/>
          </w:r>
        </w:p>
      </w:tc>
      <w:tc>
        <w:tcPr>
          <w:tcW w:w="1267" w:type="dxa"/>
          <w:shd w:val="clear" w:color="auto" w:fill="auto"/>
          <w:vAlign w:val="center"/>
        </w:tcPr>
        <w:p w14:paraId="285C68D4" w14:textId="77777777" w:rsidR="003C37D2" w:rsidRDefault="003C37D2" w:rsidP="00EA6AD8">
          <w:pPr>
            <w:pStyle w:val="UBHeader"/>
            <w:spacing w:before="60" w:after="60"/>
          </w:pPr>
          <w:r>
            <w:t>Issued:</w:t>
          </w:r>
        </w:p>
        <w:p w14:paraId="7C2E67E6" w14:textId="4913F799" w:rsidR="003C37D2" w:rsidRDefault="00825DDA" w:rsidP="00EA6AD8">
          <w:pPr>
            <w:pStyle w:val="UBHeader"/>
            <w:spacing w:before="60" w:after="60"/>
          </w:pPr>
          <w:fldSimple w:instr=" DOCPROPERTY PD3_-1_21_0  \* MERGEFORMAT ">
            <w:r w:rsidR="00772E37">
              <w:t>13/05/2019</w:t>
            </w:r>
          </w:fldSimple>
        </w:p>
      </w:tc>
      <w:tc>
        <w:tcPr>
          <w:tcW w:w="1573" w:type="dxa"/>
          <w:shd w:val="clear" w:color="auto" w:fill="auto"/>
          <w:vAlign w:val="center"/>
        </w:tcPr>
        <w:p w14:paraId="1B54EF6C" w14:textId="77777777" w:rsidR="003C37D2" w:rsidRDefault="003C37D2" w:rsidP="00EA6AD8">
          <w:pPr>
            <w:pStyle w:val="UBHeader"/>
            <w:spacing w:before="60" w:after="60"/>
            <w:ind w:left="-57"/>
          </w:pPr>
          <w:r>
            <w:t>Version:</w:t>
          </w:r>
        </w:p>
        <w:p w14:paraId="2471C84B" w14:textId="46ADC688" w:rsidR="003C37D2" w:rsidRDefault="00825DDA" w:rsidP="00EA6AD8">
          <w:pPr>
            <w:pStyle w:val="UBHeader"/>
            <w:spacing w:before="60" w:after="60"/>
            <w:ind w:left="-57"/>
          </w:pPr>
          <w:fldSimple w:instr=" DOCPROPERTY PD3_-1_6_0  \* MERGEFORMAT ">
            <w:r w:rsidR="00772E37">
              <w:t>1.2.1</w:t>
            </w:r>
          </w:fldSimple>
          <w:r w:rsidR="003C37D2">
            <w:t xml:space="preserve"> </w:t>
          </w:r>
          <w:fldSimple w:instr=" DOCPROPERTY PD3_-1_7_0  \* MERGEFORMAT ">
            <w:r w:rsidR="00772E37">
              <w:t>Current</w:t>
            </w:r>
          </w:fldSimple>
        </w:p>
      </w:tc>
    </w:tr>
    <w:tr w:rsidR="003C37D2" w14:paraId="76D7A74B" w14:textId="77777777" w:rsidTr="00EA6AD8">
      <w:trPr>
        <w:trHeight w:val="567"/>
        <w:jc w:val="center"/>
      </w:trPr>
      <w:tc>
        <w:tcPr>
          <w:tcW w:w="1561" w:type="dxa"/>
          <w:vMerge/>
          <w:shd w:val="clear" w:color="auto" w:fill="auto"/>
          <w:vAlign w:val="center"/>
        </w:tcPr>
        <w:p w14:paraId="5B442BA8" w14:textId="77777777" w:rsidR="003C37D2" w:rsidRDefault="003C37D2" w:rsidP="00EA6AD8">
          <w:pPr>
            <w:pStyle w:val="UBHeader"/>
            <w:spacing w:before="60" w:after="60"/>
          </w:pPr>
        </w:p>
      </w:tc>
      <w:tc>
        <w:tcPr>
          <w:tcW w:w="7072" w:type="dxa"/>
          <w:gridSpan w:val="2"/>
          <w:shd w:val="clear" w:color="auto" w:fill="auto"/>
          <w:vAlign w:val="center"/>
        </w:tcPr>
        <w:p w14:paraId="614BAA70" w14:textId="66B1BCC4" w:rsidR="003C37D2" w:rsidRPr="00517C18" w:rsidRDefault="003C37D2" w:rsidP="00EA6AD8">
          <w:pPr>
            <w:pStyle w:val="UBHeader"/>
            <w:spacing w:before="60" w:after="60"/>
            <w:rPr>
              <w:b/>
            </w:rPr>
          </w:pPr>
          <w:r w:rsidRPr="00517C18">
            <w:rPr>
              <w:b/>
            </w:rPr>
            <w:fldChar w:fldCharType="begin"/>
          </w:r>
          <w:r w:rsidRPr="00517C18">
            <w:rPr>
              <w:b/>
            </w:rPr>
            <w:instrText xml:space="preserve"> DOCPROPERTY PD3_-1_1_0  \* MERGEFORMAT </w:instrText>
          </w:r>
          <w:r w:rsidRPr="00517C18">
            <w:rPr>
              <w:b/>
            </w:rPr>
            <w:fldChar w:fldCharType="separate"/>
          </w:r>
          <w:r w:rsidR="00772E37">
            <w:rPr>
              <w:b/>
            </w:rPr>
            <w:t>QS FM 205 Design Verification Report Template</w:t>
          </w:r>
          <w:r w:rsidRPr="00517C18">
            <w:rPr>
              <w:b/>
            </w:rPr>
            <w:fldChar w:fldCharType="end"/>
          </w:r>
        </w:p>
      </w:tc>
      <w:tc>
        <w:tcPr>
          <w:tcW w:w="1573" w:type="dxa"/>
          <w:shd w:val="clear" w:color="auto" w:fill="auto"/>
          <w:vAlign w:val="center"/>
        </w:tcPr>
        <w:p w14:paraId="2ED685CC" w14:textId="77777777" w:rsidR="003C37D2" w:rsidRDefault="003C37D2" w:rsidP="00EA6AD8">
          <w:pPr>
            <w:pStyle w:val="UBHeader"/>
            <w:spacing w:before="60" w:after="60"/>
            <w:ind w:left="-57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96895">
            <w:rPr>
              <w:noProof/>
            </w:rPr>
            <w:t>6</w:t>
          </w:r>
          <w:r>
            <w:fldChar w:fldCharType="end"/>
          </w:r>
          <w:r>
            <w:t xml:space="preserve"> of </w:t>
          </w:r>
          <w:fldSimple w:instr=" NUMPAGES   \* MERGEFORMAT ">
            <w:r w:rsidR="00996895">
              <w:rPr>
                <w:noProof/>
              </w:rPr>
              <w:t>6</w:t>
            </w:r>
          </w:fldSimple>
        </w:p>
      </w:tc>
    </w:tr>
  </w:tbl>
  <w:p w14:paraId="4A39CD53" w14:textId="77777777" w:rsidR="003C37D2" w:rsidRPr="003963EE" w:rsidRDefault="003C37D2" w:rsidP="003C37D2">
    <w:pPr>
      <w:pStyle w:val="UBHeader"/>
      <w:rPr>
        <w:sz w:val="22"/>
        <w:szCs w:val="2"/>
      </w:rPr>
    </w:pPr>
  </w:p>
  <w:p w14:paraId="2686C458" w14:textId="77777777" w:rsidR="00A41C27" w:rsidRPr="003C37D2" w:rsidRDefault="00A41C27" w:rsidP="003C3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0F13"/>
    <w:multiLevelType w:val="hybridMultilevel"/>
    <w:tmpl w:val="009CD9F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3A41CC7"/>
    <w:multiLevelType w:val="multilevel"/>
    <w:tmpl w:val="9294A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80C00"/>
    <w:multiLevelType w:val="hybridMultilevel"/>
    <w:tmpl w:val="34A28AC0"/>
    <w:lvl w:ilvl="0" w:tplc="85207EB0">
      <w:start w:val="1"/>
      <w:numFmt w:val="bullet"/>
      <w:lvlText w:val=""/>
      <w:lvlJc w:val="left"/>
      <w:pPr>
        <w:tabs>
          <w:tab w:val="num" w:pos="113"/>
        </w:tabs>
        <w:ind w:left="284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316CE"/>
    <w:multiLevelType w:val="multilevel"/>
    <w:tmpl w:val="9294A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D0A1C"/>
    <w:multiLevelType w:val="multilevel"/>
    <w:tmpl w:val="EBF82224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35605389"/>
    <w:multiLevelType w:val="hybridMultilevel"/>
    <w:tmpl w:val="FF506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32F4C"/>
    <w:multiLevelType w:val="multilevel"/>
    <w:tmpl w:val="EBF82224"/>
    <w:numStyleLink w:val="111111"/>
  </w:abstractNum>
  <w:abstractNum w:abstractNumId="7" w15:restartNumberingAfterBreak="0">
    <w:nsid w:val="60573AF9"/>
    <w:multiLevelType w:val="hybridMultilevel"/>
    <w:tmpl w:val="6352A1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26754AC"/>
    <w:multiLevelType w:val="multilevel"/>
    <w:tmpl w:val="9294A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AD7360"/>
    <w:multiLevelType w:val="multilevel"/>
    <w:tmpl w:val="EBF82224"/>
    <w:numStyleLink w:val="111111"/>
  </w:abstractNum>
  <w:abstractNum w:abstractNumId="10" w15:restartNumberingAfterBreak="0">
    <w:nsid w:val="68C81B10"/>
    <w:multiLevelType w:val="multilevel"/>
    <w:tmpl w:val="9294A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B15959"/>
    <w:multiLevelType w:val="multilevel"/>
    <w:tmpl w:val="AD0E7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D5C42AD"/>
    <w:multiLevelType w:val="hybridMultilevel"/>
    <w:tmpl w:val="C5E67F8E"/>
    <w:lvl w:ilvl="0" w:tplc="50505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81B66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5781242">
    <w:abstractNumId w:val="12"/>
  </w:num>
  <w:num w:numId="2" w16cid:durableId="534856747">
    <w:abstractNumId w:val="10"/>
  </w:num>
  <w:num w:numId="3" w16cid:durableId="1553883748">
    <w:abstractNumId w:val="1"/>
  </w:num>
  <w:num w:numId="4" w16cid:durableId="899285587">
    <w:abstractNumId w:val="3"/>
  </w:num>
  <w:num w:numId="5" w16cid:durableId="568730791">
    <w:abstractNumId w:val="8"/>
  </w:num>
  <w:num w:numId="6" w16cid:durableId="157616278">
    <w:abstractNumId w:val="4"/>
  </w:num>
  <w:num w:numId="7" w16cid:durableId="1511947577">
    <w:abstractNumId w:val="9"/>
  </w:num>
  <w:num w:numId="8" w16cid:durableId="548225444">
    <w:abstractNumId w:val="6"/>
  </w:num>
  <w:num w:numId="9" w16cid:durableId="1336300622">
    <w:abstractNumId w:val="0"/>
  </w:num>
  <w:num w:numId="10" w16cid:durableId="19600625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82263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7382935">
    <w:abstractNumId w:val="2"/>
  </w:num>
  <w:num w:numId="13" w16cid:durableId="1231506254">
    <w:abstractNumId w:val="5"/>
  </w:num>
  <w:num w:numId="14" w16cid:durableId="1123420693">
    <w:abstractNumId w:val="7"/>
  </w:num>
  <w:num w:numId="15" w16cid:durableId="16803536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5F"/>
    <w:rsid w:val="00001D2B"/>
    <w:rsid w:val="00003393"/>
    <w:rsid w:val="00016928"/>
    <w:rsid w:val="000219BA"/>
    <w:rsid w:val="00021DFC"/>
    <w:rsid w:val="000237AB"/>
    <w:rsid w:val="00026087"/>
    <w:rsid w:val="000317F8"/>
    <w:rsid w:val="0003297C"/>
    <w:rsid w:val="0003592F"/>
    <w:rsid w:val="0004560C"/>
    <w:rsid w:val="00046E5C"/>
    <w:rsid w:val="00052112"/>
    <w:rsid w:val="0005799B"/>
    <w:rsid w:val="0006182E"/>
    <w:rsid w:val="00064760"/>
    <w:rsid w:val="00066344"/>
    <w:rsid w:val="00067E49"/>
    <w:rsid w:val="00067F2D"/>
    <w:rsid w:val="00072681"/>
    <w:rsid w:val="0007394E"/>
    <w:rsid w:val="00074FA6"/>
    <w:rsid w:val="00077827"/>
    <w:rsid w:val="000815FD"/>
    <w:rsid w:val="000869FC"/>
    <w:rsid w:val="00092521"/>
    <w:rsid w:val="0009412A"/>
    <w:rsid w:val="000A00DB"/>
    <w:rsid w:val="000B59A5"/>
    <w:rsid w:val="000B604A"/>
    <w:rsid w:val="000C11C7"/>
    <w:rsid w:val="000C4018"/>
    <w:rsid w:val="000C5B3D"/>
    <w:rsid w:val="000D1B87"/>
    <w:rsid w:val="000D2449"/>
    <w:rsid w:val="000D3088"/>
    <w:rsid w:val="000D3959"/>
    <w:rsid w:val="000D5AD9"/>
    <w:rsid w:val="000E16C7"/>
    <w:rsid w:val="000E2287"/>
    <w:rsid w:val="000E4695"/>
    <w:rsid w:val="000E6E11"/>
    <w:rsid w:val="000F7C81"/>
    <w:rsid w:val="001101D6"/>
    <w:rsid w:val="00110F3D"/>
    <w:rsid w:val="0011168B"/>
    <w:rsid w:val="00112D45"/>
    <w:rsid w:val="001137D4"/>
    <w:rsid w:val="001140E6"/>
    <w:rsid w:val="00114626"/>
    <w:rsid w:val="0011500E"/>
    <w:rsid w:val="001165F7"/>
    <w:rsid w:val="0012216E"/>
    <w:rsid w:val="0012528A"/>
    <w:rsid w:val="00137F99"/>
    <w:rsid w:val="00143E3B"/>
    <w:rsid w:val="00146BDB"/>
    <w:rsid w:val="001539B0"/>
    <w:rsid w:val="00153EBA"/>
    <w:rsid w:val="00155071"/>
    <w:rsid w:val="00165A63"/>
    <w:rsid w:val="001662B3"/>
    <w:rsid w:val="00171A98"/>
    <w:rsid w:val="001732F1"/>
    <w:rsid w:val="00177BBC"/>
    <w:rsid w:val="001803F9"/>
    <w:rsid w:val="00180B15"/>
    <w:rsid w:val="001818A7"/>
    <w:rsid w:val="00185C16"/>
    <w:rsid w:val="001908E3"/>
    <w:rsid w:val="00194058"/>
    <w:rsid w:val="00195B68"/>
    <w:rsid w:val="0019693F"/>
    <w:rsid w:val="001A25C6"/>
    <w:rsid w:val="001A7CAD"/>
    <w:rsid w:val="001B3A65"/>
    <w:rsid w:val="001B3F00"/>
    <w:rsid w:val="001C1534"/>
    <w:rsid w:val="001C4499"/>
    <w:rsid w:val="001C4733"/>
    <w:rsid w:val="001D0DA6"/>
    <w:rsid w:val="001D7288"/>
    <w:rsid w:val="001E0AEF"/>
    <w:rsid w:val="001E1EDD"/>
    <w:rsid w:val="001E22EA"/>
    <w:rsid w:val="001E359E"/>
    <w:rsid w:val="00210B6B"/>
    <w:rsid w:val="00212C83"/>
    <w:rsid w:val="00212E0C"/>
    <w:rsid w:val="00216049"/>
    <w:rsid w:val="00217A78"/>
    <w:rsid w:val="0022092B"/>
    <w:rsid w:val="0022435B"/>
    <w:rsid w:val="00225F4C"/>
    <w:rsid w:val="002262B3"/>
    <w:rsid w:val="00230251"/>
    <w:rsid w:val="00233677"/>
    <w:rsid w:val="002374F4"/>
    <w:rsid w:val="00237CC6"/>
    <w:rsid w:val="00240CE1"/>
    <w:rsid w:val="00244A19"/>
    <w:rsid w:val="00244F2F"/>
    <w:rsid w:val="00247413"/>
    <w:rsid w:val="00247CCD"/>
    <w:rsid w:val="00250F7F"/>
    <w:rsid w:val="002520C7"/>
    <w:rsid w:val="00270C5D"/>
    <w:rsid w:val="00280C87"/>
    <w:rsid w:val="002829EA"/>
    <w:rsid w:val="00283691"/>
    <w:rsid w:val="002843D4"/>
    <w:rsid w:val="002850EB"/>
    <w:rsid w:val="00285545"/>
    <w:rsid w:val="00285D15"/>
    <w:rsid w:val="00293E5F"/>
    <w:rsid w:val="002A796A"/>
    <w:rsid w:val="002B0148"/>
    <w:rsid w:val="002B5606"/>
    <w:rsid w:val="002B6D12"/>
    <w:rsid w:val="002C40BF"/>
    <w:rsid w:val="002C6A55"/>
    <w:rsid w:val="002C7A6D"/>
    <w:rsid w:val="002D29DB"/>
    <w:rsid w:val="002E0056"/>
    <w:rsid w:val="002E34D6"/>
    <w:rsid w:val="002E45D0"/>
    <w:rsid w:val="002E4F81"/>
    <w:rsid w:val="002E52A3"/>
    <w:rsid w:val="002E5655"/>
    <w:rsid w:val="002E674A"/>
    <w:rsid w:val="00304008"/>
    <w:rsid w:val="0030556F"/>
    <w:rsid w:val="0030580E"/>
    <w:rsid w:val="00306CB9"/>
    <w:rsid w:val="00311DF3"/>
    <w:rsid w:val="003125D6"/>
    <w:rsid w:val="0031349A"/>
    <w:rsid w:val="003156FA"/>
    <w:rsid w:val="00316841"/>
    <w:rsid w:val="00317115"/>
    <w:rsid w:val="00323B7D"/>
    <w:rsid w:val="00325902"/>
    <w:rsid w:val="00326748"/>
    <w:rsid w:val="00331B8C"/>
    <w:rsid w:val="00333F15"/>
    <w:rsid w:val="00334550"/>
    <w:rsid w:val="0033569E"/>
    <w:rsid w:val="003444B0"/>
    <w:rsid w:val="0034474A"/>
    <w:rsid w:val="003453CD"/>
    <w:rsid w:val="0034755C"/>
    <w:rsid w:val="003517E0"/>
    <w:rsid w:val="00376472"/>
    <w:rsid w:val="003773F3"/>
    <w:rsid w:val="00382E82"/>
    <w:rsid w:val="00395255"/>
    <w:rsid w:val="003A4F43"/>
    <w:rsid w:val="003A530B"/>
    <w:rsid w:val="003B2778"/>
    <w:rsid w:val="003C1C3E"/>
    <w:rsid w:val="003C1D2F"/>
    <w:rsid w:val="003C37D2"/>
    <w:rsid w:val="003C6522"/>
    <w:rsid w:val="003C6F21"/>
    <w:rsid w:val="003C7F02"/>
    <w:rsid w:val="003E00FD"/>
    <w:rsid w:val="003E522C"/>
    <w:rsid w:val="003E6E43"/>
    <w:rsid w:val="003F4758"/>
    <w:rsid w:val="003F48C7"/>
    <w:rsid w:val="003F4FCF"/>
    <w:rsid w:val="003F50FC"/>
    <w:rsid w:val="003F7066"/>
    <w:rsid w:val="00401E2E"/>
    <w:rsid w:val="0040275D"/>
    <w:rsid w:val="00407F0B"/>
    <w:rsid w:val="00410867"/>
    <w:rsid w:val="0041218B"/>
    <w:rsid w:val="00421B7C"/>
    <w:rsid w:val="00436737"/>
    <w:rsid w:val="00440A9A"/>
    <w:rsid w:val="00444BE7"/>
    <w:rsid w:val="00450B6C"/>
    <w:rsid w:val="0046554D"/>
    <w:rsid w:val="004819A7"/>
    <w:rsid w:val="00482C31"/>
    <w:rsid w:val="004847D1"/>
    <w:rsid w:val="00493FD8"/>
    <w:rsid w:val="0049632F"/>
    <w:rsid w:val="004A375F"/>
    <w:rsid w:val="004A3FC2"/>
    <w:rsid w:val="004B0A19"/>
    <w:rsid w:val="004B11C5"/>
    <w:rsid w:val="004B18F7"/>
    <w:rsid w:val="004B3609"/>
    <w:rsid w:val="004C074A"/>
    <w:rsid w:val="004C7C7E"/>
    <w:rsid w:val="004D3E77"/>
    <w:rsid w:val="004E4468"/>
    <w:rsid w:val="004E7E87"/>
    <w:rsid w:val="004F4707"/>
    <w:rsid w:val="004F4944"/>
    <w:rsid w:val="00500B44"/>
    <w:rsid w:val="005066F4"/>
    <w:rsid w:val="00513BCE"/>
    <w:rsid w:val="00515410"/>
    <w:rsid w:val="00517D64"/>
    <w:rsid w:val="00524D91"/>
    <w:rsid w:val="00527127"/>
    <w:rsid w:val="00530A08"/>
    <w:rsid w:val="00535526"/>
    <w:rsid w:val="00536348"/>
    <w:rsid w:val="0053642E"/>
    <w:rsid w:val="005401D8"/>
    <w:rsid w:val="005433FA"/>
    <w:rsid w:val="00543B32"/>
    <w:rsid w:val="00543F62"/>
    <w:rsid w:val="0054563D"/>
    <w:rsid w:val="00550B9F"/>
    <w:rsid w:val="00560019"/>
    <w:rsid w:val="005619DE"/>
    <w:rsid w:val="00566DE8"/>
    <w:rsid w:val="005707E3"/>
    <w:rsid w:val="005726A8"/>
    <w:rsid w:val="00572FF1"/>
    <w:rsid w:val="00577AA4"/>
    <w:rsid w:val="005867F2"/>
    <w:rsid w:val="00586F6F"/>
    <w:rsid w:val="005A5887"/>
    <w:rsid w:val="005B13D0"/>
    <w:rsid w:val="005C17FE"/>
    <w:rsid w:val="005D5DA1"/>
    <w:rsid w:val="005D69D0"/>
    <w:rsid w:val="005D73AE"/>
    <w:rsid w:val="005E0F6C"/>
    <w:rsid w:val="005E7B60"/>
    <w:rsid w:val="005F032A"/>
    <w:rsid w:val="005F55B6"/>
    <w:rsid w:val="005F5EFB"/>
    <w:rsid w:val="0060129C"/>
    <w:rsid w:val="00604CEC"/>
    <w:rsid w:val="00605A32"/>
    <w:rsid w:val="00607A7A"/>
    <w:rsid w:val="00611C0A"/>
    <w:rsid w:val="00616E90"/>
    <w:rsid w:val="00622DED"/>
    <w:rsid w:val="0062382B"/>
    <w:rsid w:val="00626574"/>
    <w:rsid w:val="006330C7"/>
    <w:rsid w:val="00634DE9"/>
    <w:rsid w:val="006412AF"/>
    <w:rsid w:val="00642A06"/>
    <w:rsid w:val="006452DD"/>
    <w:rsid w:val="006476C1"/>
    <w:rsid w:val="006525CC"/>
    <w:rsid w:val="0065269E"/>
    <w:rsid w:val="00661526"/>
    <w:rsid w:val="00667EE1"/>
    <w:rsid w:val="00676BDA"/>
    <w:rsid w:val="00676BFB"/>
    <w:rsid w:val="00686C3E"/>
    <w:rsid w:val="00687D23"/>
    <w:rsid w:val="0069492C"/>
    <w:rsid w:val="006A6520"/>
    <w:rsid w:val="006A68DE"/>
    <w:rsid w:val="006B3FC7"/>
    <w:rsid w:val="006B4E84"/>
    <w:rsid w:val="006D0349"/>
    <w:rsid w:val="006D0705"/>
    <w:rsid w:val="006D58CE"/>
    <w:rsid w:val="006D6AA9"/>
    <w:rsid w:val="006E6BA3"/>
    <w:rsid w:val="006F6749"/>
    <w:rsid w:val="0070245C"/>
    <w:rsid w:val="00711732"/>
    <w:rsid w:val="007146CE"/>
    <w:rsid w:val="00715521"/>
    <w:rsid w:val="007177BD"/>
    <w:rsid w:val="00717F58"/>
    <w:rsid w:val="00721CA3"/>
    <w:rsid w:val="00724F4D"/>
    <w:rsid w:val="00730814"/>
    <w:rsid w:val="00745904"/>
    <w:rsid w:val="00745B4E"/>
    <w:rsid w:val="00746BC1"/>
    <w:rsid w:val="00752CAB"/>
    <w:rsid w:val="0075492D"/>
    <w:rsid w:val="0075564A"/>
    <w:rsid w:val="00760F27"/>
    <w:rsid w:val="00765D3E"/>
    <w:rsid w:val="00766BA7"/>
    <w:rsid w:val="00772D0F"/>
    <w:rsid w:val="00772E37"/>
    <w:rsid w:val="00773C5F"/>
    <w:rsid w:val="007761E4"/>
    <w:rsid w:val="007808DC"/>
    <w:rsid w:val="0078595B"/>
    <w:rsid w:val="00794D85"/>
    <w:rsid w:val="00795E67"/>
    <w:rsid w:val="00796ED1"/>
    <w:rsid w:val="007971BC"/>
    <w:rsid w:val="007A1E72"/>
    <w:rsid w:val="007A59CB"/>
    <w:rsid w:val="007A791C"/>
    <w:rsid w:val="007B2C00"/>
    <w:rsid w:val="007B70AB"/>
    <w:rsid w:val="007B7AE4"/>
    <w:rsid w:val="007C5209"/>
    <w:rsid w:val="007D6B09"/>
    <w:rsid w:val="007E47DC"/>
    <w:rsid w:val="007F1158"/>
    <w:rsid w:val="007F20FB"/>
    <w:rsid w:val="007F4B86"/>
    <w:rsid w:val="00800D08"/>
    <w:rsid w:val="00802376"/>
    <w:rsid w:val="008027D9"/>
    <w:rsid w:val="0080556D"/>
    <w:rsid w:val="008114B0"/>
    <w:rsid w:val="00816C77"/>
    <w:rsid w:val="00825DDA"/>
    <w:rsid w:val="008263BF"/>
    <w:rsid w:val="008349E5"/>
    <w:rsid w:val="00835991"/>
    <w:rsid w:val="008460BC"/>
    <w:rsid w:val="00850F10"/>
    <w:rsid w:val="008513CE"/>
    <w:rsid w:val="00854197"/>
    <w:rsid w:val="00863F4D"/>
    <w:rsid w:val="00867521"/>
    <w:rsid w:val="00873ABD"/>
    <w:rsid w:val="00880C03"/>
    <w:rsid w:val="008837C8"/>
    <w:rsid w:val="0088595F"/>
    <w:rsid w:val="00887FC7"/>
    <w:rsid w:val="00890711"/>
    <w:rsid w:val="00891F51"/>
    <w:rsid w:val="0089260B"/>
    <w:rsid w:val="0089664D"/>
    <w:rsid w:val="00897D37"/>
    <w:rsid w:val="008A4EEC"/>
    <w:rsid w:val="008B45BE"/>
    <w:rsid w:val="008B6FFD"/>
    <w:rsid w:val="008C3212"/>
    <w:rsid w:val="008D2E86"/>
    <w:rsid w:val="008D413E"/>
    <w:rsid w:val="008E1547"/>
    <w:rsid w:val="008E2FC4"/>
    <w:rsid w:val="008E443B"/>
    <w:rsid w:val="008E61E1"/>
    <w:rsid w:val="008E7571"/>
    <w:rsid w:val="008F05CB"/>
    <w:rsid w:val="00901F57"/>
    <w:rsid w:val="009131D2"/>
    <w:rsid w:val="00915A4F"/>
    <w:rsid w:val="00927126"/>
    <w:rsid w:val="00932E06"/>
    <w:rsid w:val="00935F19"/>
    <w:rsid w:val="0094098B"/>
    <w:rsid w:val="0094282F"/>
    <w:rsid w:val="00950C8D"/>
    <w:rsid w:val="0095332E"/>
    <w:rsid w:val="00956B1B"/>
    <w:rsid w:val="0095754B"/>
    <w:rsid w:val="00960787"/>
    <w:rsid w:val="00971712"/>
    <w:rsid w:val="0097190A"/>
    <w:rsid w:val="00973315"/>
    <w:rsid w:val="00974170"/>
    <w:rsid w:val="00975E4C"/>
    <w:rsid w:val="00991FAF"/>
    <w:rsid w:val="00996895"/>
    <w:rsid w:val="00996AE3"/>
    <w:rsid w:val="00996F7A"/>
    <w:rsid w:val="009978B9"/>
    <w:rsid w:val="009A19B7"/>
    <w:rsid w:val="009A1EB6"/>
    <w:rsid w:val="009A2737"/>
    <w:rsid w:val="009B3A82"/>
    <w:rsid w:val="009B759A"/>
    <w:rsid w:val="009C0208"/>
    <w:rsid w:val="009C0C77"/>
    <w:rsid w:val="009C3C16"/>
    <w:rsid w:val="009C3F60"/>
    <w:rsid w:val="009C4A51"/>
    <w:rsid w:val="009D14B8"/>
    <w:rsid w:val="009D4340"/>
    <w:rsid w:val="009E0FD0"/>
    <w:rsid w:val="009E36CE"/>
    <w:rsid w:val="009E591A"/>
    <w:rsid w:val="009F3307"/>
    <w:rsid w:val="009F5A40"/>
    <w:rsid w:val="00A111BC"/>
    <w:rsid w:val="00A13AA6"/>
    <w:rsid w:val="00A22FD1"/>
    <w:rsid w:val="00A32321"/>
    <w:rsid w:val="00A40D49"/>
    <w:rsid w:val="00A41C27"/>
    <w:rsid w:val="00A479D8"/>
    <w:rsid w:val="00A50B9A"/>
    <w:rsid w:val="00A54FAC"/>
    <w:rsid w:val="00A569F0"/>
    <w:rsid w:val="00A621AF"/>
    <w:rsid w:val="00A65DBC"/>
    <w:rsid w:val="00A677E2"/>
    <w:rsid w:val="00A73333"/>
    <w:rsid w:val="00A76134"/>
    <w:rsid w:val="00A77393"/>
    <w:rsid w:val="00A867D8"/>
    <w:rsid w:val="00A90DDE"/>
    <w:rsid w:val="00A91B87"/>
    <w:rsid w:val="00A927AC"/>
    <w:rsid w:val="00A9735C"/>
    <w:rsid w:val="00A973A6"/>
    <w:rsid w:val="00AA1A62"/>
    <w:rsid w:val="00AA6146"/>
    <w:rsid w:val="00AA74AE"/>
    <w:rsid w:val="00AC4CBB"/>
    <w:rsid w:val="00AD090B"/>
    <w:rsid w:val="00AD6280"/>
    <w:rsid w:val="00AE0634"/>
    <w:rsid w:val="00AE2B12"/>
    <w:rsid w:val="00AE7819"/>
    <w:rsid w:val="00AF4C52"/>
    <w:rsid w:val="00AF5699"/>
    <w:rsid w:val="00AF7AE2"/>
    <w:rsid w:val="00B13EB4"/>
    <w:rsid w:val="00B20304"/>
    <w:rsid w:val="00B20332"/>
    <w:rsid w:val="00B24407"/>
    <w:rsid w:val="00B279E0"/>
    <w:rsid w:val="00B341C3"/>
    <w:rsid w:val="00B442AE"/>
    <w:rsid w:val="00B46530"/>
    <w:rsid w:val="00B46667"/>
    <w:rsid w:val="00B46EFE"/>
    <w:rsid w:val="00B478E5"/>
    <w:rsid w:val="00B47AC4"/>
    <w:rsid w:val="00B47C67"/>
    <w:rsid w:val="00B528D1"/>
    <w:rsid w:val="00B52AC8"/>
    <w:rsid w:val="00B53B59"/>
    <w:rsid w:val="00B55218"/>
    <w:rsid w:val="00B571F2"/>
    <w:rsid w:val="00B62E1A"/>
    <w:rsid w:val="00B66FD7"/>
    <w:rsid w:val="00B676C5"/>
    <w:rsid w:val="00B82410"/>
    <w:rsid w:val="00B84E64"/>
    <w:rsid w:val="00B96363"/>
    <w:rsid w:val="00BA02C3"/>
    <w:rsid w:val="00BA713E"/>
    <w:rsid w:val="00BB0000"/>
    <w:rsid w:val="00BB0843"/>
    <w:rsid w:val="00BC4A7B"/>
    <w:rsid w:val="00BD2D3C"/>
    <w:rsid w:val="00BD48B6"/>
    <w:rsid w:val="00BD63D5"/>
    <w:rsid w:val="00BD753D"/>
    <w:rsid w:val="00BE2D11"/>
    <w:rsid w:val="00BE6A86"/>
    <w:rsid w:val="00BF45F1"/>
    <w:rsid w:val="00BF6B3C"/>
    <w:rsid w:val="00C169BA"/>
    <w:rsid w:val="00C172EA"/>
    <w:rsid w:val="00C23EAF"/>
    <w:rsid w:val="00C26E3D"/>
    <w:rsid w:val="00C421B3"/>
    <w:rsid w:val="00C43C1A"/>
    <w:rsid w:val="00C4769B"/>
    <w:rsid w:val="00C528F1"/>
    <w:rsid w:val="00C626F1"/>
    <w:rsid w:val="00C63449"/>
    <w:rsid w:val="00C92EF9"/>
    <w:rsid w:val="00C972C0"/>
    <w:rsid w:val="00CA072E"/>
    <w:rsid w:val="00CA401A"/>
    <w:rsid w:val="00CB15FF"/>
    <w:rsid w:val="00CB55F1"/>
    <w:rsid w:val="00CB5D28"/>
    <w:rsid w:val="00CB65E1"/>
    <w:rsid w:val="00CC1BDF"/>
    <w:rsid w:val="00CC3DA6"/>
    <w:rsid w:val="00CD3B6D"/>
    <w:rsid w:val="00CE2F5C"/>
    <w:rsid w:val="00CE3C3C"/>
    <w:rsid w:val="00CE57EB"/>
    <w:rsid w:val="00CE5AEC"/>
    <w:rsid w:val="00CF5BCB"/>
    <w:rsid w:val="00D06A05"/>
    <w:rsid w:val="00D20D9F"/>
    <w:rsid w:val="00D212EF"/>
    <w:rsid w:val="00D21DAE"/>
    <w:rsid w:val="00D230BC"/>
    <w:rsid w:val="00D2431C"/>
    <w:rsid w:val="00D37524"/>
    <w:rsid w:val="00D41CF4"/>
    <w:rsid w:val="00D45774"/>
    <w:rsid w:val="00D46502"/>
    <w:rsid w:val="00D47982"/>
    <w:rsid w:val="00D47B10"/>
    <w:rsid w:val="00D50295"/>
    <w:rsid w:val="00D516FE"/>
    <w:rsid w:val="00D71008"/>
    <w:rsid w:val="00D71C97"/>
    <w:rsid w:val="00D72017"/>
    <w:rsid w:val="00D73261"/>
    <w:rsid w:val="00D87253"/>
    <w:rsid w:val="00D87D85"/>
    <w:rsid w:val="00D95788"/>
    <w:rsid w:val="00D96FC0"/>
    <w:rsid w:val="00DA0E72"/>
    <w:rsid w:val="00DA1A74"/>
    <w:rsid w:val="00DA3A03"/>
    <w:rsid w:val="00DA4BC6"/>
    <w:rsid w:val="00DA4DBE"/>
    <w:rsid w:val="00DB14E3"/>
    <w:rsid w:val="00DB46BF"/>
    <w:rsid w:val="00DD25F4"/>
    <w:rsid w:val="00DD3C17"/>
    <w:rsid w:val="00DD61B3"/>
    <w:rsid w:val="00DD6894"/>
    <w:rsid w:val="00DE108D"/>
    <w:rsid w:val="00DE3D2E"/>
    <w:rsid w:val="00DE4585"/>
    <w:rsid w:val="00DF641F"/>
    <w:rsid w:val="00E001DA"/>
    <w:rsid w:val="00E01864"/>
    <w:rsid w:val="00E0538A"/>
    <w:rsid w:val="00E07254"/>
    <w:rsid w:val="00E11A1E"/>
    <w:rsid w:val="00E13BAC"/>
    <w:rsid w:val="00E16F3F"/>
    <w:rsid w:val="00E20964"/>
    <w:rsid w:val="00E2105C"/>
    <w:rsid w:val="00E23001"/>
    <w:rsid w:val="00E23D8F"/>
    <w:rsid w:val="00E24B11"/>
    <w:rsid w:val="00E25D6D"/>
    <w:rsid w:val="00E27520"/>
    <w:rsid w:val="00E3028F"/>
    <w:rsid w:val="00E443E2"/>
    <w:rsid w:val="00E44691"/>
    <w:rsid w:val="00E457B0"/>
    <w:rsid w:val="00E45A07"/>
    <w:rsid w:val="00E53094"/>
    <w:rsid w:val="00E7150C"/>
    <w:rsid w:val="00E73187"/>
    <w:rsid w:val="00E80E1E"/>
    <w:rsid w:val="00E80E24"/>
    <w:rsid w:val="00E91DB2"/>
    <w:rsid w:val="00E92C51"/>
    <w:rsid w:val="00EA2BBD"/>
    <w:rsid w:val="00EA6AD8"/>
    <w:rsid w:val="00EB173F"/>
    <w:rsid w:val="00EC03AF"/>
    <w:rsid w:val="00EC741F"/>
    <w:rsid w:val="00ED0ECA"/>
    <w:rsid w:val="00ED50BE"/>
    <w:rsid w:val="00EE0153"/>
    <w:rsid w:val="00EE1402"/>
    <w:rsid w:val="00EF08FA"/>
    <w:rsid w:val="00EF1DA2"/>
    <w:rsid w:val="00EF2413"/>
    <w:rsid w:val="00F02F5B"/>
    <w:rsid w:val="00F11770"/>
    <w:rsid w:val="00F239F6"/>
    <w:rsid w:val="00F339B1"/>
    <w:rsid w:val="00F34175"/>
    <w:rsid w:val="00F3484B"/>
    <w:rsid w:val="00F35212"/>
    <w:rsid w:val="00F44C62"/>
    <w:rsid w:val="00F453F6"/>
    <w:rsid w:val="00F5074E"/>
    <w:rsid w:val="00F5458B"/>
    <w:rsid w:val="00F6010D"/>
    <w:rsid w:val="00F609CC"/>
    <w:rsid w:val="00F8035D"/>
    <w:rsid w:val="00F80B9A"/>
    <w:rsid w:val="00F8568F"/>
    <w:rsid w:val="00F90CCD"/>
    <w:rsid w:val="00F92719"/>
    <w:rsid w:val="00F956DF"/>
    <w:rsid w:val="00FA22AD"/>
    <w:rsid w:val="00FA23DA"/>
    <w:rsid w:val="00FA54C5"/>
    <w:rsid w:val="00FB15ED"/>
    <w:rsid w:val="00FB29A3"/>
    <w:rsid w:val="00FB6D49"/>
    <w:rsid w:val="00FC17D8"/>
    <w:rsid w:val="00FC3B2E"/>
    <w:rsid w:val="00FD355C"/>
    <w:rsid w:val="00FD5DDB"/>
    <w:rsid w:val="00F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FC50308"/>
  <w15:chartTrackingRefBased/>
  <w15:docId w15:val="{E194418D-C2B5-4AC1-AB53-12E97FC4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6DF"/>
    <w:pPr>
      <w:spacing w:before="160" w:after="160"/>
      <w:jc w:val="both"/>
    </w:pPr>
    <w:rPr>
      <w:sz w:val="22"/>
      <w:szCs w:val="24"/>
      <w:lang w:eastAsia="en-US"/>
    </w:rPr>
  </w:style>
  <w:style w:type="paragraph" w:styleId="Heading1">
    <w:name w:val="heading 1"/>
    <w:aliases w:val="Heading 1 Qualification,QD Heading 1"/>
    <w:basedOn w:val="Normal"/>
    <w:next w:val="Normal"/>
    <w:qFormat/>
    <w:rsid w:val="00E53094"/>
    <w:pPr>
      <w:keepNext/>
      <w:numPr>
        <w:numId w:val="8"/>
      </w:numPr>
      <w:shd w:val="clear" w:color="auto" w:fill="D9D9D9"/>
      <w:spacing w:before="12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aliases w:val="QD Heading 2"/>
    <w:basedOn w:val="Normal"/>
    <w:next w:val="Normal"/>
    <w:qFormat/>
    <w:rsid w:val="00066344"/>
    <w:pPr>
      <w:keepNext/>
      <w:numPr>
        <w:ilvl w:val="1"/>
        <w:numId w:val="8"/>
      </w:numPr>
      <w:tabs>
        <w:tab w:val="clear" w:pos="1440"/>
        <w:tab w:val="left" w:pos="720"/>
      </w:tabs>
      <w:spacing w:before="240" w:after="120"/>
      <w:ind w:left="357" w:hanging="357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QD Heading 3"/>
    <w:basedOn w:val="Normal"/>
    <w:next w:val="Normal"/>
    <w:qFormat/>
    <w:rsid w:val="00066344"/>
    <w:pPr>
      <w:keepNext/>
      <w:numPr>
        <w:ilvl w:val="2"/>
        <w:numId w:val="8"/>
      </w:numPr>
      <w:tabs>
        <w:tab w:val="clear" w:pos="2160"/>
        <w:tab w:val="left" w:pos="720"/>
      </w:tabs>
      <w:spacing w:before="240" w:after="120"/>
      <w:ind w:left="357" w:hanging="357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link w:val="DocumenttitleChar"/>
    <w:rsid w:val="00064760"/>
    <w:pPr>
      <w:spacing w:before="3000"/>
      <w:jc w:val="center"/>
    </w:pPr>
    <w:rPr>
      <w:b/>
      <w:bCs/>
      <w:sz w:val="48"/>
      <w:szCs w:val="20"/>
    </w:rPr>
  </w:style>
  <w:style w:type="paragraph" w:customStyle="1" w:styleId="Content">
    <w:name w:val="Content"/>
    <w:basedOn w:val="Documenttitle"/>
    <w:rsid w:val="00064760"/>
    <w:pPr>
      <w:spacing w:before="360" w:after="240"/>
    </w:pPr>
    <w:rPr>
      <w:sz w:val="28"/>
    </w:rPr>
  </w:style>
  <w:style w:type="paragraph" w:customStyle="1" w:styleId="Enddocument">
    <w:name w:val="End document"/>
    <w:basedOn w:val="Normal"/>
    <w:rsid w:val="00BD753D"/>
    <w:pPr>
      <w:jc w:val="center"/>
    </w:pPr>
    <w:rPr>
      <w:b/>
      <w:bCs/>
      <w:szCs w:val="20"/>
    </w:rPr>
  </w:style>
  <w:style w:type="paragraph" w:customStyle="1" w:styleId="Tablebold">
    <w:name w:val="Table bold"/>
    <w:basedOn w:val="Tablenormal0"/>
    <w:link w:val="TableboldChar"/>
    <w:rsid w:val="007B70AB"/>
    <w:rPr>
      <w:b/>
      <w:bCs/>
    </w:rPr>
  </w:style>
  <w:style w:type="paragraph" w:customStyle="1" w:styleId="Hiddentext">
    <w:name w:val="Hidden text"/>
    <w:basedOn w:val="Normal"/>
    <w:next w:val="Normal"/>
    <w:rsid w:val="00066344"/>
    <w:rPr>
      <w:vanish/>
      <w:color w:val="0000FF"/>
    </w:rPr>
  </w:style>
  <w:style w:type="paragraph" w:customStyle="1" w:styleId="Bold">
    <w:name w:val="Bold"/>
    <w:basedOn w:val="Normal"/>
    <w:next w:val="Normal"/>
    <w:link w:val="BoldChar"/>
    <w:rsid w:val="00285D15"/>
    <w:rPr>
      <w:b/>
    </w:rPr>
  </w:style>
  <w:style w:type="paragraph" w:customStyle="1" w:styleId="Italics">
    <w:name w:val="Italics"/>
    <w:basedOn w:val="Normal"/>
    <w:next w:val="Normal"/>
    <w:rsid w:val="00BD2D3C"/>
    <w:rPr>
      <w:i/>
    </w:rPr>
  </w:style>
  <w:style w:type="paragraph" w:customStyle="1" w:styleId="Bullet">
    <w:name w:val="Bullet"/>
    <w:basedOn w:val="Normal"/>
    <w:rsid w:val="00410867"/>
    <w:pPr>
      <w:numPr>
        <w:ilvl w:val="1"/>
        <w:numId w:val="1"/>
      </w:numPr>
      <w:spacing w:before="80" w:after="80"/>
      <w:ind w:hanging="567"/>
    </w:pPr>
  </w:style>
  <w:style w:type="paragraph" w:customStyle="1" w:styleId="Bullet-table">
    <w:name w:val="Bullet - table"/>
    <w:basedOn w:val="Bullet"/>
    <w:rsid w:val="00D96FC0"/>
    <w:pPr>
      <w:tabs>
        <w:tab w:val="clear" w:pos="1440"/>
        <w:tab w:val="left" w:pos="567"/>
      </w:tabs>
      <w:ind w:left="567"/>
    </w:pPr>
  </w:style>
  <w:style w:type="paragraph" w:styleId="TOC1">
    <w:name w:val="toc 1"/>
    <w:basedOn w:val="Normal"/>
    <w:next w:val="Normal"/>
    <w:autoRedefine/>
    <w:uiPriority w:val="39"/>
    <w:rsid w:val="000E2287"/>
    <w:pPr>
      <w:tabs>
        <w:tab w:val="left" w:pos="480"/>
        <w:tab w:val="right" w:leader="dot" w:pos="10247"/>
      </w:tabs>
    </w:pPr>
    <w:rPr>
      <w:b/>
      <w:noProof/>
    </w:rPr>
  </w:style>
  <w:style w:type="numbering" w:styleId="111111">
    <w:name w:val="Outline List 2"/>
    <w:basedOn w:val="NoList"/>
    <w:rsid w:val="005D69D0"/>
    <w:pPr>
      <w:numPr>
        <w:numId w:val="6"/>
      </w:numPr>
    </w:pPr>
  </w:style>
  <w:style w:type="paragraph" w:styleId="TOC2">
    <w:name w:val="toc 2"/>
    <w:basedOn w:val="Normal"/>
    <w:next w:val="Normal"/>
    <w:autoRedefine/>
    <w:uiPriority w:val="39"/>
    <w:rsid w:val="000E2287"/>
    <w:pPr>
      <w:tabs>
        <w:tab w:val="left" w:pos="1134"/>
        <w:tab w:val="right" w:leader="dot" w:pos="10261"/>
      </w:tabs>
      <w:ind w:left="284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E2287"/>
    <w:pPr>
      <w:tabs>
        <w:tab w:val="left" w:pos="1134"/>
        <w:tab w:val="right" w:leader="dot" w:pos="10261"/>
      </w:tabs>
      <w:ind w:left="284"/>
    </w:pPr>
    <w:rPr>
      <w:noProof/>
    </w:rPr>
  </w:style>
  <w:style w:type="character" w:styleId="Hyperlink">
    <w:name w:val="Hyperlink"/>
    <w:uiPriority w:val="99"/>
    <w:rsid w:val="002E4F81"/>
    <w:rPr>
      <w:color w:val="0000FF"/>
      <w:u w:val="single"/>
    </w:rPr>
  </w:style>
  <w:style w:type="paragraph" w:customStyle="1" w:styleId="Documenthistorytable-bold">
    <w:name w:val="Document history table - bold"/>
    <w:basedOn w:val="Normal"/>
    <w:rsid w:val="00D95788"/>
    <w:pPr>
      <w:spacing w:before="40" w:after="40"/>
      <w:jc w:val="center"/>
    </w:pPr>
    <w:rPr>
      <w:b/>
      <w:bCs/>
      <w:szCs w:val="20"/>
    </w:rPr>
  </w:style>
  <w:style w:type="paragraph" w:customStyle="1" w:styleId="Documenthistorytable-normal">
    <w:name w:val="Document history table - normal"/>
    <w:basedOn w:val="Documenthistorytable-bold"/>
    <w:rsid w:val="00D95788"/>
    <w:rPr>
      <w:b w:val="0"/>
      <w:bCs w:val="0"/>
    </w:rPr>
  </w:style>
  <w:style w:type="paragraph" w:customStyle="1" w:styleId="Appendix">
    <w:name w:val="Appendix"/>
    <w:basedOn w:val="Heading1"/>
    <w:rsid w:val="008E7571"/>
    <w:pPr>
      <w:numPr>
        <w:numId w:val="0"/>
      </w:numPr>
      <w:shd w:val="clear" w:color="auto" w:fill="auto"/>
    </w:pPr>
    <w:rPr>
      <w:rFonts w:cs="Times New Roman"/>
      <w:szCs w:val="20"/>
    </w:rPr>
  </w:style>
  <w:style w:type="paragraph" w:styleId="Header">
    <w:name w:val="header"/>
    <w:basedOn w:val="Normal"/>
    <w:rsid w:val="00DD61B3"/>
    <w:pPr>
      <w:tabs>
        <w:tab w:val="center" w:pos="4320"/>
        <w:tab w:val="right" w:pos="8640"/>
      </w:tabs>
      <w:spacing w:before="0" w:after="0"/>
    </w:pPr>
    <w:rPr>
      <w:sz w:val="16"/>
    </w:rPr>
  </w:style>
  <w:style w:type="paragraph" w:styleId="Footer">
    <w:name w:val="footer"/>
    <w:basedOn w:val="Normal"/>
    <w:rsid w:val="00DD61B3"/>
    <w:pPr>
      <w:tabs>
        <w:tab w:val="center" w:pos="4320"/>
        <w:tab w:val="right" w:pos="8640"/>
      </w:tabs>
      <w:spacing w:before="0" w:after="0"/>
    </w:pPr>
    <w:rPr>
      <w:sz w:val="16"/>
    </w:rPr>
  </w:style>
  <w:style w:type="character" w:customStyle="1" w:styleId="TablenormalChar">
    <w:name w:val="Table normal Char"/>
    <w:link w:val="Tablenormal0"/>
    <w:rsid w:val="007B70AB"/>
    <w:rPr>
      <w:rFonts w:ascii="Arial" w:hAnsi="Arial"/>
      <w:sz w:val="22"/>
      <w:lang w:val="en-US" w:eastAsia="en-US" w:bidi="ar-SA"/>
    </w:rPr>
  </w:style>
  <w:style w:type="paragraph" w:customStyle="1" w:styleId="UBheadernormal2">
    <w:name w:val="UB header normal 2"/>
    <w:basedOn w:val="Normal"/>
    <w:rsid w:val="00DD61B3"/>
    <w:pPr>
      <w:tabs>
        <w:tab w:val="left" w:pos="2055"/>
        <w:tab w:val="left" w:pos="2222"/>
      </w:tabs>
      <w:spacing w:before="0" w:after="0"/>
    </w:pPr>
    <w:rPr>
      <w:rFonts w:cs="Arial"/>
      <w:sz w:val="20"/>
      <w:szCs w:val="20"/>
      <w:lang w:eastAsia="en-AU"/>
    </w:rPr>
  </w:style>
  <w:style w:type="paragraph" w:customStyle="1" w:styleId="UBheaderbold2">
    <w:name w:val="UB header bold 2"/>
    <w:basedOn w:val="UBheaderbold"/>
    <w:rsid w:val="00E44691"/>
    <w:pPr>
      <w:spacing w:before="0"/>
    </w:pPr>
  </w:style>
  <w:style w:type="paragraph" w:customStyle="1" w:styleId="UBheaderbold">
    <w:name w:val="UB header bold"/>
    <w:basedOn w:val="Normal"/>
    <w:rsid w:val="00E44691"/>
    <w:pPr>
      <w:tabs>
        <w:tab w:val="left" w:pos="2055"/>
        <w:tab w:val="left" w:pos="2222"/>
      </w:tabs>
      <w:spacing w:before="120" w:after="0"/>
    </w:pPr>
    <w:rPr>
      <w:rFonts w:cs="Arial"/>
      <w:b/>
      <w:sz w:val="20"/>
      <w:szCs w:val="20"/>
      <w:lang w:eastAsia="en-AU"/>
    </w:rPr>
  </w:style>
  <w:style w:type="paragraph" w:customStyle="1" w:styleId="UBheadernormal">
    <w:name w:val="UB header normal"/>
    <w:basedOn w:val="UBheaderbold"/>
    <w:rsid w:val="00E44691"/>
    <w:rPr>
      <w:b w:val="0"/>
    </w:rPr>
  </w:style>
  <w:style w:type="paragraph" w:styleId="BalloonText">
    <w:name w:val="Balloon Text"/>
    <w:basedOn w:val="Normal"/>
    <w:semiHidden/>
    <w:rsid w:val="00E44691"/>
    <w:rPr>
      <w:rFonts w:ascii="Tahoma" w:hAnsi="Tahoma" w:cs="Tahoma"/>
      <w:sz w:val="16"/>
      <w:szCs w:val="16"/>
    </w:rPr>
  </w:style>
  <w:style w:type="character" w:customStyle="1" w:styleId="BoldChar">
    <w:name w:val="Bold Char"/>
    <w:link w:val="Bold"/>
    <w:rsid w:val="00285D15"/>
    <w:rPr>
      <w:rFonts w:ascii="Arial" w:hAnsi="Arial"/>
      <w:b/>
      <w:sz w:val="24"/>
      <w:szCs w:val="24"/>
      <w:lang w:val="en-US" w:eastAsia="en-US" w:bidi="ar-SA"/>
    </w:rPr>
  </w:style>
  <w:style w:type="paragraph" w:customStyle="1" w:styleId="Tablenormal0">
    <w:name w:val="Table normal"/>
    <w:basedOn w:val="Normal"/>
    <w:link w:val="TablenormalChar"/>
    <w:rsid w:val="00285D15"/>
    <w:pPr>
      <w:spacing w:before="96" w:after="96"/>
    </w:pPr>
    <w:rPr>
      <w:szCs w:val="20"/>
    </w:rPr>
  </w:style>
  <w:style w:type="character" w:customStyle="1" w:styleId="TableboldChar">
    <w:name w:val="Table bold Char"/>
    <w:link w:val="Tablebold"/>
    <w:rsid w:val="007B70AB"/>
    <w:rPr>
      <w:rFonts w:ascii="Arial" w:hAnsi="Arial"/>
      <w:b/>
      <w:bCs/>
      <w:sz w:val="22"/>
      <w:lang w:val="en-US" w:eastAsia="en-US" w:bidi="ar-SA"/>
    </w:rPr>
  </w:style>
  <w:style w:type="character" w:customStyle="1" w:styleId="DocumenttitleChar">
    <w:name w:val="Document title Char"/>
    <w:link w:val="Documenttitle"/>
    <w:rsid w:val="007B70AB"/>
    <w:rPr>
      <w:rFonts w:ascii="Arial" w:hAnsi="Arial"/>
      <w:b/>
      <w:bCs/>
      <w:sz w:val="48"/>
      <w:lang w:val="en-US" w:eastAsia="en-US" w:bidi="ar-SA"/>
    </w:rPr>
  </w:style>
  <w:style w:type="table" w:styleId="TableGrid">
    <w:name w:val="Table Grid"/>
    <w:basedOn w:val="TableNormal"/>
    <w:rsid w:val="002E52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centred">
    <w:name w:val="Footer centred"/>
    <w:basedOn w:val="Footer"/>
    <w:rsid w:val="000E2287"/>
    <w:pPr>
      <w:tabs>
        <w:tab w:val="left" w:pos="720"/>
      </w:tabs>
      <w:spacing w:before="20" w:after="20"/>
      <w:jc w:val="center"/>
    </w:pPr>
    <w:rPr>
      <w:rFonts w:ascii="Arial" w:hAnsi="Arial" w:cs="Arial"/>
      <w:sz w:val="12"/>
      <w:szCs w:val="12"/>
    </w:rPr>
  </w:style>
  <w:style w:type="paragraph" w:customStyle="1" w:styleId="Footerleft">
    <w:name w:val="Footer left"/>
    <w:basedOn w:val="Footer"/>
    <w:rsid w:val="000E2287"/>
    <w:pPr>
      <w:tabs>
        <w:tab w:val="left" w:pos="1785"/>
        <w:tab w:val="right" w:pos="9356"/>
      </w:tabs>
    </w:pPr>
    <w:rPr>
      <w:rFonts w:ascii="Arial" w:hAnsi="Arial"/>
      <w:szCs w:val="16"/>
    </w:rPr>
  </w:style>
  <w:style w:type="paragraph" w:customStyle="1" w:styleId="UBHeader">
    <w:name w:val="UB Header"/>
    <w:rsid w:val="00E001DA"/>
    <w:rPr>
      <w:rFonts w:ascii="Arial" w:hAnsi="Arial" w:cs="Arial"/>
      <w:lang w:eastAsia="en-AU"/>
    </w:rPr>
  </w:style>
  <w:style w:type="paragraph" w:customStyle="1" w:styleId="Body">
    <w:name w:val="Body"/>
    <w:basedOn w:val="Normal"/>
    <w:link w:val="BodyChar"/>
    <w:qFormat/>
    <w:rsid w:val="00026087"/>
    <w:pPr>
      <w:suppressAutoHyphens/>
      <w:overflowPunct w:val="0"/>
      <w:autoSpaceDE w:val="0"/>
      <w:autoSpaceDN w:val="0"/>
      <w:adjustRightInd w:val="0"/>
      <w:spacing w:before="120" w:after="0"/>
      <w:textAlignment w:val="baseline"/>
    </w:pPr>
    <w:rPr>
      <w:rFonts w:cs="Arial"/>
      <w:szCs w:val="22"/>
    </w:rPr>
  </w:style>
  <w:style w:type="character" w:customStyle="1" w:styleId="BodyChar">
    <w:name w:val="Body Char"/>
    <w:link w:val="Body"/>
    <w:locked/>
    <w:rsid w:val="00026087"/>
    <w:rPr>
      <w:rFonts w:ascii="Arial" w:hAnsi="Arial" w:cs="Arial"/>
      <w:sz w:val="22"/>
      <w:szCs w:val="22"/>
      <w:lang w:val="en-US" w:eastAsia="en-US"/>
    </w:rPr>
  </w:style>
  <w:style w:type="paragraph" w:customStyle="1" w:styleId="Para01">
    <w:name w:val="Para 01"/>
    <w:basedOn w:val="Normal"/>
    <w:rsid w:val="00B676C5"/>
    <w:pPr>
      <w:spacing w:before="60" w:after="180"/>
      <w:ind w:left="720"/>
      <w:jc w:val="left"/>
    </w:pPr>
    <w:rPr>
      <w:lang w:val="en-GB"/>
    </w:rPr>
  </w:style>
  <w:style w:type="paragraph" w:styleId="Title">
    <w:name w:val="Title"/>
    <w:basedOn w:val="Normal"/>
    <w:next w:val="Normal"/>
    <w:link w:val="TitleChar"/>
    <w:qFormat/>
    <w:rsid w:val="00212E0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12E0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ListParagraph">
    <w:name w:val="List Paragraph"/>
    <w:basedOn w:val="Normal"/>
    <w:uiPriority w:val="34"/>
    <w:qFormat/>
    <w:rsid w:val="00BC4A7B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F8035D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8035D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rsid w:val="00F8035D"/>
    <w:rPr>
      <w:vertAlign w:val="superscript"/>
    </w:rPr>
  </w:style>
  <w:style w:type="character" w:styleId="Emphasis">
    <w:name w:val="Emphasis"/>
    <w:basedOn w:val="DefaultParagraphFont"/>
    <w:qFormat/>
    <w:rsid w:val="003773F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460B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6452D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452DD"/>
    <w:rPr>
      <w:lang w:eastAsia="en-US"/>
    </w:rPr>
  </w:style>
  <w:style w:type="character" w:styleId="FootnoteReference">
    <w:name w:val="footnote reference"/>
    <w:basedOn w:val="DefaultParagraphFont"/>
    <w:rsid w:val="006452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avma.org/resources-tools/reports-statistics/us-pet-ownership-statistic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vma.org/resources-tools/reports-statistics/us-pet-ownership-statisti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ennent\Application%20Data\Microsoft\Templates\SO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41fb1c-04fb-47fe-a177-7ef625c5bb1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F26BB4914E7449DF4EA4B09DEDAB7" ma:contentTypeVersion="16" ma:contentTypeDescription="Create a new document." ma:contentTypeScope="" ma:versionID="b50f304f15e971a26acbaad925b5d853">
  <xsd:schema xmlns:xsd="http://www.w3.org/2001/XMLSchema" xmlns:xs="http://www.w3.org/2001/XMLSchema" xmlns:p="http://schemas.microsoft.com/office/2006/metadata/properties" xmlns:ns3="38e2cbd8-647c-4689-85c0-2fc4173b239d" xmlns:ns4="b741fb1c-04fb-47fe-a177-7ef625c5bb15" targetNamespace="http://schemas.microsoft.com/office/2006/metadata/properties" ma:root="true" ma:fieldsID="1a4d548eb944669cbf414a5c18f160f7" ns3:_="" ns4:_="">
    <xsd:import namespace="38e2cbd8-647c-4689-85c0-2fc4173b239d"/>
    <xsd:import namespace="b741fb1c-04fb-47fe-a177-7ef625c5bb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2cbd8-647c-4689-85c0-2fc4173b23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fb1c-04fb-47fe-a177-7ef625c5b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8C8679-7173-470B-84F9-2F7EFF955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D29E80-4C96-4797-AFA7-51FAB9D94BAE}">
  <ds:schemaRefs>
    <ds:schemaRef ds:uri="http://schemas.microsoft.com/office/2006/metadata/properties"/>
    <ds:schemaRef ds:uri="http://schemas.microsoft.com/office/infopath/2007/PartnerControls"/>
    <ds:schemaRef ds:uri="b741fb1c-04fb-47fe-a177-7ef625c5bb15"/>
  </ds:schemaRefs>
</ds:datastoreItem>
</file>

<file path=customXml/itemProps3.xml><?xml version="1.0" encoding="utf-8"?>
<ds:datastoreItem xmlns:ds="http://schemas.openxmlformats.org/officeDocument/2006/customXml" ds:itemID="{9C40052B-71AB-4538-A5AC-4887948B7B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0A174B-F656-4B69-8B06-54CE9B9C5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2cbd8-647c-4689-85c0-2fc4173b239d"/>
    <ds:schemaRef ds:uri="b741fb1c-04fb-47fe-a177-7ef625c5b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 template.dot</Template>
  <TotalTime>223</TotalTime>
  <Pages>3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Universal Biosensors</Company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atennent</dc:creator>
  <cp:keywords/>
  <cp:lastModifiedBy>Marcin Kowalczyk</cp:lastModifiedBy>
  <cp:revision>6</cp:revision>
  <cp:lastPrinted>2023-06-05T02:05:00Z</cp:lastPrinted>
  <dcterms:created xsi:type="dcterms:W3CDTF">2023-07-13T00:33:00Z</dcterms:created>
  <dcterms:modified xsi:type="dcterms:W3CDTF">2023-07-13T04:24:00Z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dItemID">
    <vt:lpwstr>15149</vt:lpwstr>
  </property>
  <property fmtid="{D5CDD505-2E9C-101B-9397-08002B2CF9AE}" pid="3" name="PdItemOrigID">
    <vt:lpwstr>14309</vt:lpwstr>
  </property>
  <property fmtid="{D5CDD505-2E9C-101B-9397-08002B2CF9AE}" pid="4" name="PdItemName">
    <vt:lpwstr>QS FM 070 Experimental Report Template</vt:lpwstr>
  </property>
  <property fmtid="{D5CDD505-2E9C-101B-9397-08002B2CF9AE}" pid="5" name="PdItemLabel">
    <vt:lpwstr/>
  </property>
  <property fmtid="{D5CDD505-2E9C-101B-9397-08002B2CF9AE}" pid="6" name="PdItemModuleID">
    <vt:lpwstr>3</vt:lpwstr>
  </property>
  <property fmtid="{D5CDD505-2E9C-101B-9397-08002B2CF9AE}" pid="7" name="PdItemModuleName">
    <vt:lpwstr>Paradigm Kernel</vt:lpwstr>
  </property>
  <property fmtid="{D5CDD505-2E9C-101B-9397-08002B2CF9AE}" pid="8" name="PdOperatorName">
    <vt:lpwstr>Nicole Conway</vt:lpwstr>
  </property>
  <property fmtid="{D5CDD505-2E9C-101B-9397-08002B2CF9AE}" pid="9" name="PdVersion">
    <vt:lpwstr>1.1.2</vt:lpwstr>
  </property>
  <property fmtid="{D5CDD505-2E9C-101B-9397-08002B2CF9AE}" pid="10" name="PdAuthorisor">
    <vt:lpwstr>Nicole Conway</vt:lpwstr>
  </property>
  <property fmtid="{D5CDD505-2E9C-101B-9397-08002B2CF9AE}" pid="11" name="PdParentGroup">
    <vt:lpwstr>UBS Documentation\Quality Management System\Quality System Documents (QS)\FM Documents\</vt:lpwstr>
  </property>
  <property fmtid="{D5CDD505-2E9C-101B-9397-08002B2CF9AE}" pid="12" name="PdExtension">
    <vt:lpwstr>doc</vt:lpwstr>
  </property>
  <property fmtid="{D5CDD505-2E9C-101B-9397-08002B2CF9AE}" pid="13" name="PdCompanyName">
    <vt:lpwstr>Universal Biosensors Pty. Ltd.</vt:lpwstr>
  </property>
  <property fmtid="{D5CDD505-2E9C-101B-9397-08002B2CF9AE}" pid="14" name="PdItemType">
    <vt:lpwstr>Master</vt:lpwstr>
  </property>
  <property fmtid="{D5CDD505-2E9C-101B-9397-08002B2CF9AE}" pid="15" name="PdItemStatus">
    <vt:lpwstr>CURRENT</vt:lpwstr>
  </property>
  <property fmtid="{D5CDD505-2E9C-101B-9397-08002B2CF9AE}" pid="16" name="PdLastDate">
    <vt:lpwstr>10/12/2008 4:09:45 PM</vt:lpwstr>
  </property>
  <property fmtid="{D5CDD505-2E9C-101B-9397-08002B2CF9AE}" pid="17" name="PdLastDateOnly">
    <vt:lpwstr>10/12/2008</vt:lpwstr>
  </property>
  <property fmtid="{D5CDD505-2E9C-101B-9397-08002B2CF9AE}" pid="18" name="PdGroupName">
    <vt:lpwstr>FM Documents</vt:lpwstr>
  </property>
  <property fmtid="{D5CDD505-2E9C-101B-9397-08002B2CF9AE}" pid="19" name="PdWaterMark">
    <vt:lpwstr/>
  </property>
  <property fmtid="{D5CDD505-2E9C-101B-9397-08002B2CF9AE}" pid="20" name="PdPrintNumber">
    <vt:lpwstr/>
  </property>
  <property fmtid="{D5CDD505-2E9C-101B-9397-08002B2CF9AE}" pid="21" name="PdVersionDate">
    <vt:lpwstr>10/12/2008 4:09:45 PM</vt:lpwstr>
  </property>
  <property fmtid="{D5CDD505-2E9C-101B-9397-08002B2CF9AE}" pid="22" name="PdVersionDateOnly">
    <vt:lpwstr>10/12/2008</vt:lpwstr>
  </property>
  <property fmtid="{D5CDD505-2E9C-101B-9397-08002B2CF9AE}" pid="23" name="PdReviewDate">
    <vt:lpwstr>10/12/2010</vt:lpwstr>
  </property>
  <property fmtid="{D5CDD505-2E9C-101B-9397-08002B2CF9AE}" pid="24" name="PdReminderDate">
    <vt:lpwstr/>
  </property>
  <property fmtid="{D5CDD505-2E9C-101B-9397-08002B2CF9AE}" pid="25" name="PdEffectDate">
    <vt:lpwstr>10/12/2008</vt:lpwstr>
  </property>
  <property fmtid="{D5CDD505-2E9C-101B-9397-08002B2CF9AE}" pid="26" name="PdUserID">
    <vt:lpwstr>31</vt:lpwstr>
  </property>
  <property fmtid="{D5CDD505-2E9C-101B-9397-08002B2CF9AE}" pid="27" name="PdAllOrgIDs">
    <vt:lpwstr>23,2</vt:lpwstr>
  </property>
  <property fmtid="{D5CDD505-2E9C-101B-9397-08002B2CF9AE}" pid="28" name="PdAllPosIDs">
    <vt:lpwstr>98,46,63</vt:lpwstr>
  </property>
  <property fmtid="{D5CDD505-2E9C-101B-9397-08002B2CF9AE}" pid="29" name="AddParalink">
    <vt:lpwstr>True</vt:lpwstr>
  </property>
  <property fmtid="{D5CDD505-2E9C-101B-9397-08002B2CF9AE}" pid="30" name="DeletePLink">
    <vt:lpwstr>True</vt:lpwstr>
  </property>
  <property fmtid="{D5CDD505-2E9C-101B-9397-08002B2CF9AE}" pid="31" name="PdResponsible">
    <vt:lpwstr>QMS Specialist</vt:lpwstr>
  </property>
  <property fmtid="{D5CDD505-2E9C-101B-9397-08002B2CF9AE}" pid="32" name="PD3_-1_0_0">
    <vt:lpwstr/>
  </property>
  <property fmtid="{D5CDD505-2E9C-101B-9397-08002B2CF9AE}" pid="33" name="PD3_-1_1_0">
    <vt:lpwstr>QS FM 205 Design Verification Report Template</vt:lpwstr>
  </property>
  <property fmtid="{D5CDD505-2E9C-101B-9397-08002B2CF9AE}" pid="34" name="PD3_-1_2_0">
    <vt:lpwstr/>
  </property>
  <property fmtid="{D5CDD505-2E9C-101B-9397-08002B2CF9AE}" pid="35" name="PD3_-1_3_0">
    <vt:lpwstr>Universal Biosensors</vt:lpwstr>
  </property>
  <property fmtid="{D5CDD505-2E9C-101B-9397-08002B2CF9AE}" pid="36" name="PD3_-1_4_0">
    <vt:lpwstr>92506</vt:lpwstr>
  </property>
  <property fmtid="{D5CDD505-2E9C-101B-9397-08002B2CF9AE}" pid="37" name="PD3_-1_5_0">
    <vt:lpwstr>75462</vt:lpwstr>
  </property>
  <property fmtid="{D5CDD505-2E9C-101B-9397-08002B2CF9AE}" pid="38" name="PD3_-1_6_0">
    <vt:lpwstr>1.2.1</vt:lpwstr>
  </property>
  <property fmtid="{D5CDD505-2E9C-101B-9397-08002B2CF9AE}" pid="39" name="PD3_-1_7_0">
    <vt:lpwstr>Current</vt:lpwstr>
  </property>
  <property fmtid="{D5CDD505-2E9C-101B-9397-08002B2CF9AE}" pid="40" name="PD3_-1_8_0">
    <vt:lpwstr>13/05/2019 11:54:51 AM</vt:lpwstr>
  </property>
  <property fmtid="{D5CDD505-2E9C-101B-9397-08002B2CF9AE}" pid="41" name="PD3_-1_9_0">
    <vt:lpwstr>FM </vt:lpwstr>
  </property>
  <property fmtid="{D5CDD505-2E9C-101B-9397-08002B2CF9AE}" pid="42" name="PD3_-1_10_0">
    <vt:lpwstr>System\Templates\Quality Management System\Quality System Documents (QS)\FM \</vt:lpwstr>
  </property>
  <property fmtid="{D5CDD505-2E9C-101B-9397-08002B2CF9AE}" pid="43" name="PD3_-1_11_0">
    <vt:lpwstr>Uncontrolled When Printed</vt:lpwstr>
  </property>
  <property fmtid="{D5CDD505-2E9C-101B-9397-08002B2CF9AE}" pid="44" name="PD3_-1_12_0">
    <vt:lpwstr/>
  </property>
  <property fmtid="{D5CDD505-2E9C-101B-9397-08002B2CF9AE}" pid="45" name="PD3_-1_13_0">
    <vt:lpwstr/>
  </property>
  <property fmtid="{D5CDD505-2E9C-101B-9397-08002B2CF9AE}" pid="46" name="PD3_-1_14_0">
    <vt:lpwstr/>
  </property>
  <property fmtid="{D5CDD505-2E9C-101B-9397-08002B2CF9AE}" pid="47" name="PD3_-1_15_0">
    <vt:lpwstr>Vanessa Bacon</vt:lpwstr>
  </property>
  <property fmtid="{D5CDD505-2E9C-101B-9397-08002B2CF9AE}" pid="48" name="PD3_-1_16_0">
    <vt:lpwstr>339</vt:lpwstr>
  </property>
  <property fmtid="{D5CDD505-2E9C-101B-9397-08002B2CF9AE}" pid="49" name="PD3_-1_17_0">
    <vt:lpwstr>Marcin Kowalczyk</vt:lpwstr>
  </property>
  <property fmtid="{D5CDD505-2E9C-101B-9397-08002B2CF9AE}" pid="50" name="PD3_-1_18_0">
    <vt:lpwstr>-1</vt:lpwstr>
  </property>
  <property fmtid="{D5CDD505-2E9C-101B-9397-08002B2CF9AE}" pid="51" name="PD3_-1_19_0">
    <vt:lpwstr>3</vt:lpwstr>
  </property>
  <property fmtid="{D5CDD505-2E9C-101B-9397-08002B2CF9AE}" pid="52" name="PD3_-1_20_0">
    <vt:lpwstr>20887</vt:lpwstr>
  </property>
  <property fmtid="{D5CDD505-2E9C-101B-9397-08002B2CF9AE}" pid="53" name="PD3_-1_21_0">
    <vt:lpwstr>13/05/2019</vt:lpwstr>
  </property>
  <property fmtid="{D5CDD505-2E9C-101B-9397-08002B2CF9AE}" pid="54" name="PD3_-1_22_0">
    <vt:lpwstr>13/05/2019</vt:lpwstr>
  </property>
  <property fmtid="{D5CDD505-2E9C-101B-9397-08002B2CF9AE}" pid="55" name="PD3_-1_23_0">
    <vt:lpwstr>13/05/2019</vt:lpwstr>
  </property>
  <property fmtid="{D5CDD505-2E9C-101B-9397-08002B2CF9AE}" pid="56" name="PD3_-1_24_0">
    <vt:lpwstr/>
  </property>
  <property fmtid="{D5CDD505-2E9C-101B-9397-08002B2CF9AE}" pid="57" name="PD3_-1_25_0">
    <vt:lpwstr/>
  </property>
  <property fmtid="{D5CDD505-2E9C-101B-9397-08002B2CF9AE}" pid="58" name="PD3_-1_26_0">
    <vt:lpwstr/>
  </property>
  <property fmtid="{D5CDD505-2E9C-101B-9397-08002B2CF9AE}" pid="59" name="PD3_-1_27_0">
    <vt:lpwstr/>
  </property>
  <property fmtid="{D5CDD505-2E9C-101B-9397-08002B2CF9AE}" pid="60" name="PD3_-1_28_0">
    <vt:lpwstr/>
  </property>
  <property fmtid="{D5CDD505-2E9C-101B-9397-08002B2CF9AE}" pid="61" name="PD3_5_3_1">
    <vt:lpwstr/>
  </property>
  <property fmtid="{D5CDD505-2E9C-101B-9397-08002B2CF9AE}" pid="62" name="PD3_1_5_0">
    <vt:lpwstr>13/02/2021</vt:lpwstr>
  </property>
  <property fmtid="{D5CDD505-2E9C-101B-9397-08002B2CF9AE}" pid="63" name="PD3_1_6_0">
    <vt:lpwstr>Not Set</vt:lpwstr>
  </property>
  <property fmtid="{D5CDD505-2E9C-101B-9397-08002B2CF9AE}" pid="64" name="P2ToP3Cnvtd">
    <vt:lpwstr/>
  </property>
  <property fmtid="{D5CDD505-2E9C-101B-9397-08002B2CF9AE}" pid="65" name="ContentTypeId">
    <vt:lpwstr>0x010100318F26BB4914E7449DF4EA4B09DEDAB7</vt:lpwstr>
  </property>
</Properties>
</file>